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911CA" w14:textId="2CABED7E" w:rsidR="00EA144A" w:rsidRPr="00EE7A02" w:rsidRDefault="0042030B" w:rsidP="005819CB">
      <w:pPr>
        <w:pStyle w:val="BookHeading3"/>
        <w:rPr>
          <w:lang w:val="en-US"/>
        </w:rPr>
      </w:pPr>
      <w:r w:rsidRPr="00EE7A02">
        <w:rPr>
          <w:lang w:val="en-US"/>
        </w:rPr>
        <w:t>Financial Derivatives</w:t>
      </w:r>
      <w:r w:rsidR="005819CB" w:rsidRPr="00EE7A02">
        <w:rPr>
          <w:lang w:val="en-US"/>
        </w:rPr>
        <w:t xml:space="preserve"> Conceptual Model</w:t>
      </w:r>
    </w:p>
    <w:p w14:paraId="4F3627F4" w14:textId="77777777" w:rsidR="0048625A" w:rsidRPr="00950EEE" w:rsidRDefault="0048625A" w:rsidP="0048625A">
      <w:r w:rsidRPr="00950EEE">
        <w:rPr>
          <w:b/>
          <w:bCs/>
        </w:rPr>
        <w:t>Grumpy Old IT Guy Publishers</w:t>
      </w:r>
      <w:r w:rsidRPr="00950EEE">
        <w:t xml:space="preserve"> and </w:t>
      </w:r>
      <w:r w:rsidRPr="00950EEE">
        <w:rPr>
          <w:b/>
          <w:bCs/>
        </w:rPr>
        <w:t>Angelo R. Bobak</w:t>
      </w:r>
      <w:r w:rsidRPr="00950EEE">
        <w:t xml:space="preserve"> are independent educational content providers and are not affiliated with, endorsed by, sponsored by, or associated with Microsoft Corporation.</w:t>
      </w:r>
    </w:p>
    <w:p w14:paraId="6BA792DB" w14:textId="77777777" w:rsidR="0048625A" w:rsidRPr="00950EEE" w:rsidRDefault="0048625A" w:rsidP="0048625A">
      <w:r w:rsidRPr="00950EEE">
        <w:t>All references to Microsoft technologies are used strictly for educational, instructional, commentary, and demonstration purposes under the principles of nominative fair use.</w:t>
      </w:r>
    </w:p>
    <w:p w14:paraId="16B9C5E2" w14:textId="77777777" w:rsidR="0048625A" w:rsidRDefault="0048625A" w:rsidP="0048625A">
      <w:r w:rsidRPr="00950EEE">
        <w:t>Any screenshots, product references, feature descriptions, or code examples referencing Microsoft technologies are intended solely to help users learn database design, SQL development, and related technical concepts.</w:t>
      </w:r>
    </w:p>
    <w:p w14:paraId="23C836DD" w14:textId="77777777" w:rsidR="00C111F3" w:rsidRPr="00C111F3" w:rsidRDefault="00C111F3" w:rsidP="00EE7A02">
      <w:pPr>
        <w:pStyle w:val="Subtitle"/>
        <w:rPr>
          <w:rFonts w:eastAsia="Times New Roman"/>
          <w:b w:val="0"/>
        </w:rPr>
      </w:pPr>
      <w:r w:rsidRPr="00C111F3">
        <w:rPr>
          <w:rFonts w:eastAsia="Times New Roman"/>
        </w:rPr>
        <w:t>What Are Financial Derivatives?</w:t>
      </w:r>
    </w:p>
    <w:p w14:paraId="52ED8F28" w14:textId="792DDF8F"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Financial derivatives are specialized financial contracts whose value is derived from the performance, price </w:t>
      </w:r>
      <w:r w:rsidR="00EE7A02">
        <w:rPr>
          <w:rFonts w:eastAsia="Times New Roman" w:cs="Times New Roman"/>
          <w:kern w:val="0"/>
          <w:szCs w:val="24"/>
          <w14:ligatures w14:val="none"/>
        </w:rPr>
        <w:t>movements, interest rates, exchange rates, credit quality, or market behavior of an</w:t>
      </w:r>
      <w:r w:rsidRPr="00C111F3">
        <w:rPr>
          <w:rFonts w:eastAsia="Times New Roman" w:cs="Times New Roman"/>
          <w:kern w:val="0"/>
          <w:szCs w:val="24"/>
          <w14:ligatures w14:val="none"/>
        </w:rPr>
        <w:t xml:space="preserve"> underlying asset or financial benchmark. Rather than representing direct ownership of an asset</w:t>
      </w:r>
      <w:r w:rsidR="00EE7A02">
        <w:rPr>
          <w:rFonts w:eastAsia="Times New Roman" w:cs="Times New Roman"/>
          <w:kern w:val="0"/>
          <w:szCs w:val="24"/>
          <w14:ligatures w14:val="none"/>
        </w:rPr>
        <w:t xml:space="preserve">, derivatives are </w:t>
      </w:r>
      <w:r w:rsidR="00C7381D">
        <w:rPr>
          <w:rFonts w:eastAsia="Times New Roman" w:cs="Times New Roman"/>
          <w:kern w:val="0"/>
          <w:szCs w:val="24"/>
          <w14:ligatures w14:val="none"/>
        </w:rPr>
        <w:t xml:space="preserve">contracts </w:t>
      </w:r>
      <w:r w:rsidR="00EE7A02">
        <w:rPr>
          <w:rFonts w:eastAsia="Times New Roman" w:cs="Times New Roman"/>
          <w:kern w:val="0"/>
          <w:szCs w:val="24"/>
          <w14:ligatures w14:val="none"/>
        </w:rPr>
        <w:t>between two or more parties that specify</w:t>
      </w:r>
      <w:r w:rsidRPr="00C111F3">
        <w:rPr>
          <w:rFonts w:eastAsia="Times New Roman" w:cs="Times New Roman"/>
          <w:kern w:val="0"/>
          <w:szCs w:val="24"/>
          <w14:ligatures w14:val="none"/>
        </w:rPr>
        <w:t xml:space="preserve"> how cash </w:t>
      </w:r>
      <w:proofErr w:type="gramStart"/>
      <w:r w:rsidRPr="00C111F3">
        <w:rPr>
          <w:rFonts w:eastAsia="Times New Roman" w:cs="Times New Roman"/>
          <w:kern w:val="0"/>
          <w:szCs w:val="24"/>
          <w14:ligatures w14:val="none"/>
        </w:rPr>
        <w:t>flows</w:t>
      </w:r>
      <w:proofErr w:type="gramEnd"/>
      <w:r w:rsidRPr="00C111F3">
        <w:rPr>
          <w:rFonts w:eastAsia="Times New Roman" w:cs="Times New Roman"/>
          <w:kern w:val="0"/>
          <w:szCs w:val="24"/>
          <w14:ligatures w14:val="none"/>
        </w:rPr>
        <w:t xml:space="preserve">, obligations, profits, or losses will be exchanged </w:t>
      </w:r>
      <w:r w:rsidR="00EE7A02">
        <w:rPr>
          <w:rFonts w:eastAsia="Times New Roman" w:cs="Times New Roman"/>
          <w:kern w:val="0"/>
          <w:szCs w:val="24"/>
          <w14:ligatures w14:val="none"/>
        </w:rPr>
        <w:t>in response to</w:t>
      </w:r>
      <w:r w:rsidRPr="00C111F3">
        <w:rPr>
          <w:rFonts w:eastAsia="Times New Roman" w:cs="Times New Roman"/>
          <w:kern w:val="0"/>
          <w:szCs w:val="24"/>
          <w14:ligatures w14:val="none"/>
        </w:rPr>
        <w:t xml:space="preserve"> changes in market conditions.</w:t>
      </w:r>
    </w:p>
    <w:p w14:paraId="7E99D2D2" w14:textId="78C87633"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Derivatives are widely used throughout global financial markets by banks, hedge funds, pension funds, insurance companies, commodity traders, corporations, governments, and institutional investors. These instruments serve multiple purposes</w:t>
      </w:r>
      <w:r w:rsidR="00EE7A02">
        <w:rPr>
          <w:rFonts w:eastAsia="Times New Roman" w:cs="Times New Roman"/>
          <w:kern w:val="0"/>
          <w:szCs w:val="24"/>
          <w14:ligatures w14:val="none"/>
        </w:rPr>
        <w:t>,</w:t>
      </w:r>
      <w:r w:rsidRPr="00C111F3">
        <w:rPr>
          <w:rFonts w:eastAsia="Times New Roman" w:cs="Times New Roman"/>
          <w:kern w:val="0"/>
          <w:szCs w:val="24"/>
          <w14:ligatures w14:val="none"/>
        </w:rPr>
        <w:t xml:space="preserve"> including risk management, speculation, hedging, arbitrage, portfolio optimization, and liquidity management.</w:t>
      </w:r>
    </w:p>
    <w:p w14:paraId="6E39D05A"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The “underlying asset” connected to a derivative may include:</w:t>
      </w:r>
    </w:p>
    <w:p w14:paraId="3AFAF585"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Stocks and equities </w:t>
      </w:r>
    </w:p>
    <w:p w14:paraId="48A9CDA7"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Bonds and fixed income instruments </w:t>
      </w:r>
    </w:p>
    <w:p w14:paraId="35434D72"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Interest rates </w:t>
      </w:r>
    </w:p>
    <w:p w14:paraId="71FED6B8"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Foreign exchange currencies </w:t>
      </w:r>
    </w:p>
    <w:p w14:paraId="5880358C"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Commodities such as oil, gold, wheat, or natural gas </w:t>
      </w:r>
    </w:p>
    <w:p w14:paraId="49931A7E"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Stock indexes </w:t>
      </w:r>
    </w:p>
    <w:p w14:paraId="2B6C3D6D"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Credit instruments </w:t>
      </w:r>
    </w:p>
    <w:p w14:paraId="727D366B"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Inflation indexes </w:t>
      </w:r>
    </w:p>
    <w:p w14:paraId="489D8D13"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Cryptocurrencies </w:t>
      </w:r>
    </w:p>
    <w:p w14:paraId="5F39E273"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Weather or energy indexes </w:t>
      </w:r>
    </w:p>
    <w:p w14:paraId="4AB139BB" w14:textId="1B78A089"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Because derivatives derive their value from </w:t>
      </w:r>
      <w:r w:rsidR="00EE7A02">
        <w:rPr>
          <w:rFonts w:eastAsia="Times New Roman" w:cs="Times New Roman"/>
          <w:kern w:val="0"/>
          <w:szCs w:val="24"/>
          <w14:ligatures w14:val="none"/>
        </w:rPr>
        <w:t xml:space="preserve">other financial variables, they can be structured in many </w:t>
      </w:r>
      <w:r w:rsidRPr="00C111F3">
        <w:rPr>
          <w:rFonts w:eastAsia="Times New Roman" w:cs="Times New Roman"/>
          <w:kern w:val="0"/>
          <w:szCs w:val="24"/>
          <w14:ligatures w14:val="none"/>
        </w:rPr>
        <w:t>ways to achieve highly specific financial objectives.</w:t>
      </w:r>
    </w:p>
    <w:p w14:paraId="08E17BCA" w14:textId="77777777" w:rsidR="00EE7A02" w:rsidRDefault="00EE7A02">
      <w:pPr>
        <w:spacing w:before="0" w:after="160" w:line="259" w:lineRule="auto"/>
        <w:rPr>
          <w:rFonts w:asciiTheme="minorHAnsi" w:eastAsia="Times New Roman" w:hAnsiTheme="minorHAnsi" w:cstheme="majorBidi"/>
          <w:b/>
          <w:color w:val="FFFFFF" w:themeColor="background1"/>
          <w:spacing w:val="15"/>
          <w:sz w:val="36"/>
          <w:szCs w:val="28"/>
        </w:rPr>
      </w:pPr>
      <w:r>
        <w:rPr>
          <w:rFonts w:eastAsia="Times New Roman"/>
        </w:rPr>
        <w:br w:type="page"/>
      </w:r>
    </w:p>
    <w:p w14:paraId="0F1E6D2C" w14:textId="2942F5EE" w:rsidR="00C111F3" w:rsidRPr="00C111F3" w:rsidRDefault="00C111F3" w:rsidP="00EE7A02">
      <w:pPr>
        <w:pStyle w:val="Subtitle"/>
        <w:rPr>
          <w:rFonts w:eastAsia="Times New Roman"/>
        </w:rPr>
      </w:pPr>
      <w:r w:rsidRPr="00C111F3">
        <w:rPr>
          <w:rFonts w:eastAsia="Times New Roman"/>
        </w:rPr>
        <w:lastRenderedPageBreak/>
        <w:t>Core Purpose of Derivatives</w:t>
      </w:r>
    </w:p>
    <w:p w14:paraId="1D4EE510"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Financial derivatives primarily exist to transfer or manage financial risk.</w:t>
      </w:r>
    </w:p>
    <w:p w14:paraId="76B65380"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For example:</w:t>
      </w:r>
    </w:p>
    <w:p w14:paraId="4BAE5AA6"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An airline company may use fuel derivatives to stabilize future fuel costs. </w:t>
      </w:r>
    </w:p>
    <w:p w14:paraId="7AD86399"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pension fund may use interest rate swaps to manage exposure to changing interest rates. </w:t>
      </w:r>
    </w:p>
    <w:p w14:paraId="5A71E7DB"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An exporter may use foreign exchange forwards to lock in currency conversion rates. </w:t>
      </w:r>
    </w:p>
    <w:p w14:paraId="5ED89F63"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hedge fund may purchase options to speculate on future market direction. </w:t>
      </w:r>
    </w:p>
    <w:p w14:paraId="37678935"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bank may use credit default swaps to reduce exposure to borrower default risk. </w:t>
      </w:r>
    </w:p>
    <w:p w14:paraId="1A0793D8"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In each case, derivatives provide a contractual mechanism for transferring uncertainty and financial exposure between parties.</w:t>
      </w:r>
    </w:p>
    <w:p w14:paraId="5ECF1640" w14:textId="77777777" w:rsidR="00C111F3" w:rsidRPr="00C111F3" w:rsidRDefault="00C111F3" w:rsidP="00EE7A02">
      <w:pPr>
        <w:pStyle w:val="Subtitle"/>
        <w:rPr>
          <w:rFonts w:eastAsia="Times New Roman"/>
        </w:rPr>
      </w:pPr>
      <w:r w:rsidRPr="00C111F3">
        <w:rPr>
          <w:rFonts w:eastAsia="Times New Roman"/>
        </w:rPr>
        <w:t>Major Categories of Financial Derivatives</w:t>
      </w:r>
    </w:p>
    <w:p w14:paraId="49957635" w14:textId="77777777" w:rsidR="00C111F3" w:rsidRPr="00C111F3" w:rsidRDefault="00C111F3" w:rsidP="00C111F3">
      <w:pPr>
        <w:spacing w:beforeAutospacing="1" w:after="100" w:afterAutospacing="1" w:line="240" w:lineRule="auto"/>
        <w:outlineLvl w:val="1"/>
        <w:rPr>
          <w:rFonts w:eastAsia="Times New Roman" w:cs="Times New Roman"/>
          <w:b/>
          <w:bCs/>
          <w:kern w:val="0"/>
          <w:sz w:val="36"/>
          <w:szCs w:val="36"/>
          <w14:ligatures w14:val="none"/>
        </w:rPr>
      </w:pPr>
      <w:r w:rsidRPr="00C111F3">
        <w:rPr>
          <w:rFonts w:eastAsia="Times New Roman" w:cs="Times New Roman"/>
          <w:b/>
          <w:bCs/>
          <w:kern w:val="0"/>
          <w:sz w:val="36"/>
          <w:szCs w:val="36"/>
          <w14:ligatures w14:val="none"/>
        </w:rPr>
        <w:t>1. Options</w:t>
      </w:r>
    </w:p>
    <w:p w14:paraId="5360F8AE" w14:textId="0C5E4ECC" w:rsidR="00AF5812" w:rsidRDefault="005F225A" w:rsidP="00C111F3">
      <w:pPr>
        <w:spacing w:beforeAutospacing="1" w:after="100" w:afterAutospacing="1" w:line="240" w:lineRule="auto"/>
        <w:rPr>
          <w:rFonts w:eastAsia="Times New Roman" w:cs="Times New Roman"/>
          <w:kern w:val="0"/>
          <w:szCs w:val="24"/>
          <w14:ligatures w14:val="none"/>
        </w:rPr>
      </w:pPr>
      <w:r w:rsidRPr="005F225A">
        <w:rPr>
          <w:rFonts w:eastAsia="Times New Roman" w:cs="Times New Roman"/>
          <w:kern w:val="0"/>
          <w:szCs w:val="24"/>
          <w14:ligatures w14:val="none"/>
        </w:rPr>
        <w:t xml:space="preserve">An option is a derivative agreement between parties that gives the purchaser the right, but not the requirement, to purchase or sell a specified underlying asset at a predetermined price </w:t>
      </w:r>
      <w:r w:rsidR="00AF5812">
        <w:rPr>
          <w:rFonts w:eastAsia="Times New Roman" w:cs="Times New Roman"/>
          <w:kern w:val="0"/>
          <w:szCs w:val="24"/>
          <w14:ligatures w14:val="none"/>
        </w:rPr>
        <w:t>prior to</w:t>
      </w:r>
      <w:r w:rsidRPr="005F225A">
        <w:rPr>
          <w:rFonts w:eastAsia="Times New Roman" w:cs="Times New Roman"/>
          <w:kern w:val="0"/>
          <w:szCs w:val="24"/>
          <w14:ligatures w14:val="none"/>
        </w:rPr>
        <w:t xml:space="preserve"> or on a defined expiration date.</w:t>
      </w:r>
      <w:r w:rsidR="00AF5812">
        <w:rPr>
          <w:rFonts w:eastAsia="Times New Roman" w:cs="Times New Roman"/>
          <w:kern w:val="0"/>
          <w:szCs w:val="24"/>
          <w14:ligatures w14:val="none"/>
        </w:rPr>
        <w:t xml:space="preserve"> </w:t>
      </w:r>
    </w:p>
    <w:p w14:paraId="30770C8C" w14:textId="433495BB"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There are two primary option types:</w:t>
      </w:r>
    </w:p>
    <w:p w14:paraId="6229224F" w14:textId="77777777" w:rsidR="00C111F3" w:rsidRPr="00C111F3" w:rsidRDefault="00C111F3" w:rsidP="00C111F3">
      <w:pPr>
        <w:numPr>
          <w:ilvl w:val="0"/>
          <w:numId w:val="3"/>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Call Options — the right to buy </w:t>
      </w:r>
    </w:p>
    <w:p w14:paraId="5F162D87" w14:textId="77777777" w:rsidR="00C111F3" w:rsidRPr="00C111F3" w:rsidRDefault="00C111F3" w:rsidP="00C111F3">
      <w:pPr>
        <w:numPr>
          <w:ilvl w:val="0"/>
          <w:numId w:val="3"/>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Put Options — the right to sell </w:t>
      </w:r>
    </w:p>
    <w:p w14:paraId="70DD8568"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Options are commonly used for:</w:t>
      </w:r>
    </w:p>
    <w:p w14:paraId="7D53E029" w14:textId="77777777" w:rsidR="00C111F3" w:rsidRPr="00C111F3" w:rsidRDefault="00C111F3" w:rsidP="00C111F3">
      <w:pPr>
        <w:numPr>
          <w:ilvl w:val="0"/>
          <w:numId w:val="4"/>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Portfolio protection </w:t>
      </w:r>
    </w:p>
    <w:p w14:paraId="15CB8EFE" w14:textId="77777777" w:rsidR="00C111F3" w:rsidRPr="00C111F3" w:rsidRDefault="00C111F3" w:rsidP="00C111F3">
      <w:pPr>
        <w:numPr>
          <w:ilvl w:val="0"/>
          <w:numId w:val="4"/>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Income generation </w:t>
      </w:r>
    </w:p>
    <w:p w14:paraId="3D3950C2" w14:textId="77777777" w:rsidR="00C111F3" w:rsidRPr="00C111F3" w:rsidRDefault="00C111F3" w:rsidP="00C111F3">
      <w:pPr>
        <w:numPr>
          <w:ilvl w:val="0"/>
          <w:numId w:val="4"/>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Market speculation </w:t>
      </w:r>
    </w:p>
    <w:p w14:paraId="5ADBFBF1" w14:textId="77777777" w:rsidR="00C111F3" w:rsidRPr="00C111F3" w:rsidRDefault="00C111F3" w:rsidP="00C111F3">
      <w:pPr>
        <w:numPr>
          <w:ilvl w:val="0"/>
          <w:numId w:val="4"/>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Volatility trading </w:t>
      </w:r>
    </w:p>
    <w:p w14:paraId="445D21BF" w14:textId="77777777" w:rsidR="00C111F3" w:rsidRPr="00C111F3" w:rsidRDefault="00C111F3" w:rsidP="00C111F3">
      <w:pPr>
        <w:numPr>
          <w:ilvl w:val="0"/>
          <w:numId w:val="4"/>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Hedging price risk </w:t>
      </w:r>
    </w:p>
    <w:p w14:paraId="43E46405"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Option pricing is influenced by:</w:t>
      </w:r>
    </w:p>
    <w:p w14:paraId="2BDDE02B" w14:textId="77777777" w:rsidR="00C111F3" w:rsidRPr="00C111F3" w:rsidRDefault="00C111F3" w:rsidP="00C111F3">
      <w:pPr>
        <w:numPr>
          <w:ilvl w:val="0"/>
          <w:numId w:val="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Underlying asset price </w:t>
      </w:r>
    </w:p>
    <w:p w14:paraId="79EDAEFB" w14:textId="77777777" w:rsidR="00C111F3" w:rsidRPr="00C111F3" w:rsidRDefault="00C111F3" w:rsidP="00C111F3">
      <w:pPr>
        <w:numPr>
          <w:ilvl w:val="0"/>
          <w:numId w:val="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Strike price </w:t>
      </w:r>
    </w:p>
    <w:p w14:paraId="2E5EB976" w14:textId="77777777" w:rsidR="00C111F3" w:rsidRPr="00C111F3" w:rsidRDefault="00C111F3" w:rsidP="00C111F3">
      <w:pPr>
        <w:numPr>
          <w:ilvl w:val="0"/>
          <w:numId w:val="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Time to expiration </w:t>
      </w:r>
    </w:p>
    <w:p w14:paraId="02FDBB76" w14:textId="77777777" w:rsidR="00C111F3" w:rsidRPr="00C111F3" w:rsidRDefault="00C111F3" w:rsidP="00C111F3">
      <w:pPr>
        <w:numPr>
          <w:ilvl w:val="0"/>
          <w:numId w:val="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Volatility </w:t>
      </w:r>
    </w:p>
    <w:p w14:paraId="5B0D5E4E" w14:textId="77777777" w:rsidR="00C111F3" w:rsidRPr="00C111F3" w:rsidRDefault="00C111F3" w:rsidP="00C111F3">
      <w:pPr>
        <w:numPr>
          <w:ilvl w:val="0"/>
          <w:numId w:val="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Interest rates </w:t>
      </w:r>
    </w:p>
    <w:p w14:paraId="2AE7B845" w14:textId="77777777" w:rsidR="00C111F3" w:rsidRPr="00C111F3" w:rsidRDefault="00C111F3" w:rsidP="00C111F3">
      <w:pPr>
        <w:numPr>
          <w:ilvl w:val="0"/>
          <w:numId w:val="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lastRenderedPageBreak/>
        <w:t xml:space="preserve">Dividends </w:t>
      </w:r>
    </w:p>
    <w:p w14:paraId="6E893DB1" w14:textId="77777777" w:rsidR="00C111F3" w:rsidRPr="00C111F3" w:rsidRDefault="00C111F3" w:rsidP="00C111F3">
      <w:pPr>
        <w:spacing w:beforeAutospacing="1" w:after="100" w:afterAutospacing="1" w:line="240" w:lineRule="auto"/>
        <w:outlineLvl w:val="1"/>
        <w:rPr>
          <w:rFonts w:eastAsia="Times New Roman" w:cs="Times New Roman"/>
          <w:b/>
          <w:bCs/>
          <w:kern w:val="0"/>
          <w:sz w:val="36"/>
          <w:szCs w:val="36"/>
          <w14:ligatures w14:val="none"/>
        </w:rPr>
      </w:pPr>
      <w:r w:rsidRPr="00C111F3">
        <w:rPr>
          <w:rFonts w:eastAsia="Times New Roman" w:cs="Times New Roman"/>
          <w:b/>
          <w:bCs/>
          <w:kern w:val="0"/>
          <w:sz w:val="36"/>
          <w:szCs w:val="36"/>
          <w14:ligatures w14:val="none"/>
        </w:rPr>
        <w:t>2. Futures Contracts</w:t>
      </w:r>
    </w:p>
    <w:p w14:paraId="2210A6D0" w14:textId="52710953"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futures contract is a standardized agreement </w:t>
      </w:r>
      <w:r w:rsidR="00FB0F4B">
        <w:rPr>
          <w:rFonts w:eastAsia="Times New Roman" w:cs="Times New Roman"/>
          <w:kern w:val="0"/>
          <w:szCs w:val="24"/>
          <w14:ligatures w14:val="none"/>
        </w:rPr>
        <w:t xml:space="preserve">entered </w:t>
      </w:r>
      <w:r w:rsidR="00FB0F4B">
        <w:rPr>
          <w:rFonts w:eastAsia="Times New Roman" w:cs="Times New Roman"/>
          <w:kern w:val="0"/>
          <w:szCs w:val="24"/>
          <w14:ligatures w14:val="none"/>
        </w:rPr>
        <w:t xml:space="preserve">into </w:t>
      </w:r>
      <w:r w:rsidR="00FB0F4B">
        <w:rPr>
          <w:rFonts w:eastAsia="Times New Roman" w:cs="Times New Roman"/>
          <w:kern w:val="0"/>
          <w:szCs w:val="24"/>
          <w14:ligatures w14:val="none"/>
        </w:rPr>
        <w:t>between two parties</w:t>
      </w:r>
      <w:r w:rsidR="00FB0F4B">
        <w:rPr>
          <w:rFonts w:eastAsia="Times New Roman" w:cs="Times New Roman"/>
          <w:kern w:val="0"/>
          <w:szCs w:val="24"/>
          <w14:ligatures w14:val="none"/>
        </w:rPr>
        <w:t xml:space="preserve">. It </w:t>
      </w:r>
      <w:r w:rsidRPr="00C111F3">
        <w:rPr>
          <w:rFonts w:eastAsia="Times New Roman" w:cs="Times New Roman"/>
          <w:kern w:val="0"/>
          <w:szCs w:val="24"/>
          <w14:ligatures w14:val="none"/>
        </w:rPr>
        <w:t xml:space="preserve">traded on </w:t>
      </w:r>
      <w:r w:rsidR="00FB0F4B">
        <w:rPr>
          <w:rFonts w:eastAsia="Times New Roman" w:cs="Times New Roman"/>
          <w:kern w:val="0"/>
          <w:szCs w:val="24"/>
          <w14:ligatures w14:val="none"/>
        </w:rPr>
        <w:t>a</w:t>
      </w:r>
      <w:r w:rsidRPr="00C111F3">
        <w:rPr>
          <w:rFonts w:eastAsia="Times New Roman" w:cs="Times New Roman"/>
          <w:kern w:val="0"/>
          <w:szCs w:val="24"/>
          <w14:ligatures w14:val="none"/>
        </w:rPr>
        <w:t xml:space="preserve"> </w:t>
      </w:r>
      <w:r w:rsidR="00FB0F4B">
        <w:rPr>
          <w:rFonts w:eastAsia="Times New Roman" w:cs="Times New Roman"/>
          <w:kern w:val="0"/>
          <w:szCs w:val="24"/>
          <w14:ligatures w14:val="none"/>
        </w:rPr>
        <w:t xml:space="preserve">financial </w:t>
      </w:r>
      <w:r w:rsidRPr="00C111F3">
        <w:rPr>
          <w:rFonts w:eastAsia="Times New Roman" w:cs="Times New Roman"/>
          <w:kern w:val="0"/>
          <w:szCs w:val="24"/>
          <w14:ligatures w14:val="none"/>
        </w:rPr>
        <w:t>exchange</w:t>
      </w:r>
      <w:r w:rsidR="00FB0F4B">
        <w:rPr>
          <w:rFonts w:eastAsia="Times New Roman" w:cs="Times New Roman"/>
          <w:kern w:val="0"/>
          <w:szCs w:val="24"/>
          <w14:ligatures w14:val="none"/>
        </w:rPr>
        <w:t xml:space="preserve">. This contract </w:t>
      </w:r>
      <w:r w:rsidRPr="00C111F3">
        <w:rPr>
          <w:rFonts w:eastAsia="Times New Roman" w:cs="Times New Roman"/>
          <w:kern w:val="0"/>
          <w:szCs w:val="24"/>
          <w14:ligatures w14:val="none"/>
        </w:rPr>
        <w:t xml:space="preserve">obligates the buyer and seller to exchange </w:t>
      </w:r>
      <w:proofErr w:type="gramStart"/>
      <w:r w:rsidRPr="00C111F3">
        <w:rPr>
          <w:rFonts w:eastAsia="Times New Roman" w:cs="Times New Roman"/>
          <w:kern w:val="0"/>
          <w:szCs w:val="24"/>
          <w14:ligatures w14:val="none"/>
        </w:rPr>
        <w:t>a</w:t>
      </w:r>
      <w:r w:rsidR="00FB0F4B">
        <w:rPr>
          <w:rFonts w:eastAsia="Times New Roman" w:cs="Times New Roman"/>
          <w:kern w:val="0"/>
          <w:szCs w:val="24"/>
          <w14:ligatures w14:val="none"/>
        </w:rPr>
        <w:t xml:space="preserve"> financial</w:t>
      </w:r>
      <w:r w:rsidRPr="00C111F3">
        <w:rPr>
          <w:rFonts w:eastAsia="Times New Roman" w:cs="Times New Roman"/>
          <w:kern w:val="0"/>
          <w:szCs w:val="24"/>
          <w14:ligatures w14:val="none"/>
        </w:rPr>
        <w:t xml:space="preserve"> </w:t>
      </w:r>
      <w:r w:rsidR="00FB0F4B">
        <w:rPr>
          <w:rFonts w:eastAsia="Times New Roman" w:cs="Times New Roman"/>
          <w:kern w:val="0"/>
          <w:szCs w:val="24"/>
          <w14:ligatures w14:val="none"/>
        </w:rPr>
        <w:t>asset</w:t>
      </w:r>
      <w:proofErr w:type="gramEnd"/>
      <w:r w:rsidR="00FB0F4B">
        <w:rPr>
          <w:rFonts w:eastAsia="Times New Roman" w:cs="Times New Roman"/>
          <w:kern w:val="0"/>
          <w:szCs w:val="24"/>
          <w14:ligatures w14:val="none"/>
        </w:rPr>
        <w:t xml:space="preserve"> (such as a currency) </w:t>
      </w:r>
      <w:r w:rsidRPr="00C111F3">
        <w:rPr>
          <w:rFonts w:eastAsia="Times New Roman" w:cs="Times New Roman"/>
          <w:kern w:val="0"/>
          <w:szCs w:val="24"/>
          <w14:ligatures w14:val="none"/>
        </w:rPr>
        <w:t xml:space="preserve">at a </w:t>
      </w:r>
      <w:r w:rsidR="00F5022D">
        <w:rPr>
          <w:rFonts w:eastAsia="Times New Roman" w:cs="Times New Roman"/>
          <w:kern w:val="0"/>
          <w:szCs w:val="24"/>
          <w14:ligatures w14:val="none"/>
        </w:rPr>
        <w:t>predetermined price on a future date</w:t>
      </w:r>
      <w:r w:rsidRPr="00C111F3">
        <w:rPr>
          <w:rFonts w:eastAsia="Times New Roman" w:cs="Times New Roman"/>
          <w:kern w:val="0"/>
          <w:szCs w:val="24"/>
          <w14:ligatures w14:val="none"/>
        </w:rPr>
        <w:t>.</w:t>
      </w:r>
    </w:p>
    <w:p w14:paraId="73DC489C"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Futures are heavily used in:</w:t>
      </w:r>
    </w:p>
    <w:p w14:paraId="64DA7AB6" w14:textId="77777777" w:rsidR="00C111F3" w:rsidRPr="00C111F3" w:rsidRDefault="00C111F3" w:rsidP="00C111F3">
      <w:pPr>
        <w:numPr>
          <w:ilvl w:val="0"/>
          <w:numId w:val="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Commodity markets </w:t>
      </w:r>
    </w:p>
    <w:p w14:paraId="2CA283A4" w14:textId="77777777" w:rsidR="00C111F3" w:rsidRPr="00C111F3" w:rsidRDefault="00C111F3" w:rsidP="00C111F3">
      <w:pPr>
        <w:numPr>
          <w:ilvl w:val="0"/>
          <w:numId w:val="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Agricultural trading </w:t>
      </w:r>
    </w:p>
    <w:p w14:paraId="71A0F727" w14:textId="77777777" w:rsidR="00C111F3" w:rsidRPr="00C111F3" w:rsidRDefault="00C111F3" w:rsidP="00C111F3">
      <w:pPr>
        <w:numPr>
          <w:ilvl w:val="0"/>
          <w:numId w:val="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Interest rate management </w:t>
      </w:r>
    </w:p>
    <w:p w14:paraId="4736856F" w14:textId="77777777" w:rsidR="00C111F3" w:rsidRPr="00C111F3" w:rsidRDefault="00C111F3" w:rsidP="00C111F3">
      <w:pPr>
        <w:numPr>
          <w:ilvl w:val="0"/>
          <w:numId w:val="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Equity index speculation </w:t>
      </w:r>
    </w:p>
    <w:p w14:paraId="11A9CD51" w14:textId="77777777" w:rsidR="00C111F3" w:rsidRPr="00C111F3" w:rsidRDefault="00C111F3" w:rsidP="00C111F3">
      <w:pPr>
        <w:numPr>
          <w:ilvl w:val="0"/>
          <w:numId w:val="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Currency markets </w:t>
      </w:r>
    </w:p>
    <w:p w14:paraId="3A3655AC"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Unlike options, futures contracts create obligations for both parties.</w:t>
      </w:r>
    </w:p>
    <w:p w14:paraId="6EFDADD3" w14:textId="77777777" w:rsidR="00C111F3" w:rsidRPr="00C111F3" w:rsidRDefault="00C111F3" w:rsidP="00C111F3">
      <w:pPr>
        <w:spacing w:beforeAutospacing="1" w:after="100" w:afterAutospacing="1" w:line="240" w:lineRule="auto"/>
        <w:outlineLvl w:val="1"/>
        <w:rPr>
          <w:rFonts w:eastAsia="Times New Roman" w:cs="Times New Roman"/>
          <w:b/>
          <w:bCs/>
          <w:kern w:val="0"/>
          <w:sz w:val="36"/>
          <w:szCs w:val="36"/>
          <w14:ligatures w14:val="none"/>
        </w:rPr>
      </w:pPr>
      <w:r w:rsidRPr="00C111F3">
        <w:rPr>
          <w:rFonts w:eastAsia="Times New Roman" w:cs="Times New Roman"/>
          <w:b/>
          <w:bCs/>
          <w:kern w:val="0"/>
          <w:sz w:val="36"/>
          <w:szCs w:val="36"/>
          <w14:ligatures w14:val="none"/>
        </w:rPr>
        <w:t>3. Forward Contracts</w:t>
      </w:r>
    </w:p>
    <w:p w14:paraId="150262BA" w14:textId="7DCB43C5"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forward contract </w:t>
      </w:r>
      <w:r w:rsidR="00FB0F4B">
        <w:rPr>
          <w:rFonts w:eastAsia="Times New Roman" w:cs="Times New Roman"/>
          <w:kern w:val="0"/>
          <w:szCs w:val="24"/>
          <w14:ligatures w14:val="none"/>
        </w:rPr>
        <w:t xml:space="preserve">has features similar to those of </w:t>
      </w:r>
      <w:r w:rsidRPr="00C111F3">
        <w:rPr>
          <w:rFonts w:eastAsia="Times New Roman" w:cs="Times New Roman"/>
          <w:kern w:val="0"/>
          <w:szCs w:val="24"/>
          <w14:ligatures w14:val="none"/>
        </w:rPr>
        <w:t>a futures contract</w:t>
      </w:r>
      <w:r w:rsidR="00FB0F4B">
        <w:rPr>
          <w:rFonts w:eastAsia="Times New Roman" w:cs="Times New Roman"/>
          <w:kern w:val="0"/>
          <w:szCs w:val="24"/>
          <w14:ligatures w14:val="none"/>
        </w:rPr>
        <w:t>,</w:t>
      </w:r>
      <w:r w:rsidRPr="00C111F3">
        <w:rPr>
          <w:rFonts w:eastAsia="Times New Roman" w:cs="Times New Roman"/>
          <w:kern w:val="0"/>
          <w:szCs w:val="24"/>
          <w14:ligatures w14:val="none"/>
        </w:rPr>
        <w:t xml:space="preserve"> but </w:t>
      </w:r>
      <w:r w:rsidR="00FB0F4B">
        <w:rPr>
          <w:rFonts w:eastAsia="Times New Roman" w:cs="Times New Roman"/>
          <w:kern w:val="0"/>
          <w:szCs w:val="24"/>
          <w14:ligatures w14:val="none"/>
        </w:rPr>
        <w:t xml:space="preserve">it </w:t>
      </w:r>
      <w:r w:rsidRPr="00C111F3">
        <w:rPr>
          <w:rFonts w:eastAsia="Times New Roman" w:cs="Times New Roman"/>
          <w:kern w:val="0"/>
          <w:szCs w:val="24"/>
          <w14:ligatures w14:val="none"/>
        </w:rPr>
        <w:t>is privately negotiated between counterparties rather than traded on an exchange.</w:t>
      </w:r>
    </w:p>
    <w:p w14:paraId="179242C7"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Forward contracts are commonly customized for:</w:t>
      </w:r>
    </w:p>
    <w:p w14:paraId="61189186" w14:textId="77777777" w:rsidR="00C111F3" w:rsidRPr="00C111F3" w:rsidRDefault="00C111F3" w:rsidP="00C111F3">
      <w:pPr>
        <w:numPr>
          <w:ilvl w:val="0"/>
          <w:numId w:val="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Currency hedging </w:t>
      </w:r>
    </w:p>
    <w:p w14:paraId="0693BB98" w14:textId="77777777" w:rsidR="00C111F3" w:rsidRPr="00C111F3" w:rsidRDefault="00C111F3" w:rsidP="00C111F3">
      <w:pPr>
        <w:numPr>
          <w:ilvl w:val="0"/>
          <w:numId w:val="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Commodity delivery agreements </w:t>
      </w:r>
    </w:p>
    <w:p w14:paraId="6C9057A2" w14:textId="77777777" w:rsidR="00C111F3" w:rsidRPr="00C111F3" w:rsidRDefault="00C111F3" w:rsidP="00C111F3">
      <w:pPr>
        <w:numPr>
          <w:ilvl w:val="0"/>
          <w:numId w:val="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Corporate treasury operations </w:t>
      </w:r>
    </w:p>
    <w:p w14:paraId="787EE280" w14:textId="77777777" w:rsidR="00C111F3" w:rsidRPr="00C111F3" w:rsidRDefault="00C111F3" w:rsidP="00C111F3">
      <w:pPr>
        <w:numPr>
          <w:ilvl w:val="0"/>
          <w:numId w:val="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Cross-border trade protection </w:t>
      </w:r>
    </w:p>
    <w:p w14:paraId="36C4440F"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Because forwards are typically </w:t>
      </w:r>
      <w:proofErr w:type="gramStart"/>
      <w:r w:rsidRPr="00C111F3">
        <w:rPr>
          <w:rFonts w:eastAsia="Times New Roman" w:cs="Times New Roman"/>
          <w:kern w:val="0"/>
          <w:szCs w:val="24"/>
          <w14:ligatures w14:val="none"/>
        </w:rPr>
        <w:t>over-the-counter</w:t>
      </w:r>
      <w:proofErr w:type="gramEnd"/>
      <w:r w:rsidRPr="00C111F3">
        <w:rPr>
          <w:rFonts w:eastAsia="Times New Roman" w:cs="Times New Roman"/>
          <w:kern w:val="0"/>
          <w:szCs w:val="24"/>
          <w14:ligatures w14:val="none"/>
        </w:rPr>
        <w:t xml:space="preserve"> (OTC) instruments, they carry greater counterparty risk.</w:t>
      </w:r>
    </w:p>
    <w:p w14:paraId="4CDFC0DA" w14:textId="77777777" w:rsidR="00C111F3" w:rsidRPr="00C111F3" w:rsidRDefault="00C111F3" w:rsidP="00C111F3">
      <w:pPr>
        <w:spacing w:beforeAutospacing="1" w:after="100" w:afterAutospacing="1" w:line="240" w:lineRule="auto"/>
        <w:outlineLvl w:val="0"/>
        <w:rPr>
          <w:rFonts w:eastAsia="Times New Roman" w:cs="Times New Roman"/>
          <w:b/>
          <w:bCs/>
          <w:kern w:val="36"/>
          <w:sz w:val="48"/>
          <w:szCs w:val="48"/>
          <w14:ligatures w14:val="none"/>
        </w:rPr>
      </w:pPr>
      <w:r w:rsidRPr="00C111F3">
        <w:rPr>
          <w:rFonts w:eastAsia="Times New Roman" w:cs="Times New Roman"/>
          <w:b/>
          <w:bCs/>
          <w:kern w:val="36"/>
          <w:sz w:val="48"/>
          <w:szCs w:val="48"/>
          <w14:ligatures w14:val="none"/>
        </w:rPr>
        <w:t>4. Swaps</w:t>
      </w:r>
    </w:p>
    <w:p w14:paraId="3EF6446F" w14:textId="5366360C"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swap is a contractual agreement </w:t>
      </w:r>
      <w:r w:rsidR="00C7381D">
        <w:rPr>
          <w:rFonts w:eastAsia="Times New Roman" w:cs="Times New Roman"/>
          <w:kern w:val="0"/>
          <w:szCs w:val="24"/>
          <w14:ligatures w14:val="none"/>
        </w:rPr>
        <w:t xml:space="preserve">entered into </w:t>
      </w:r>
      <w:r w:rsidR="00FB0F4B">
        <w:rPr>
          <w:rFonts w:eastAsia="Times New Roman" w:cs="Times New Roman"/>
          <w:kern w:val="0"/>
          <w:szCs w:val="24"/>
          <w14:ligatures w14:val="none"/>
        </w:rPr>
        <w:t xml:space="preserve">between two </w:t>
      </w:r>
      <w:r w:rsidR="00F5022D">
        <w:rPr>
          <w:rFonts w:eastAsia="Times New Roman" w:cs="Times New Roman"/>
          <w:kern w:val="0"/>
          <w:szCs w:val="24"/>
          <w14:ligatures w14:val="none"/>
        </w:rPr>
        <w:t>parties</w:t>
      </w:r>
      <w:r w:rsidR="00FB0F4B">
        <w:rPr>
          <w:rFonts w:eastAsia="Times New Roman" w:cs="Times New Roman"/>
          <w:kern w:val="0"/>
          <w:szCs w:val="24"/>
          <w14:ligatures w14:val="none"/>
        </w:rPr>
        <w:t>. The parties</w:t>
      </w:r>
      <w:r w:rsidR="00F5022D">
        <w:rPr>
          <w:rFonts w:eastAsia="Times New Roman" w:cs="Times New Roman"/>
          <w:kern w:val="0"/>
          <w:szCs w:val="24"/>
          <w14:ligatures w14:val="none"/>
        </w:rPr>
        <w:t xml:space="preserve"> exchange cash flow streams</w:t>
      </w:r>
      <w:r w:rsidRPr="00C111F3">
        <w:rPr>
          <w:rFonts w:eastAsia="Times New Roman" w:cs="Times New Roman"/>
          <w:kern w:val="0"/>
          <w:szCs w:val="24"/>
          <w14:ligatures w14:val="none"/>
        </w:rPr>
        <w:t xml:space="preserve"> over time.</w:t>
      </w:r>
    </w:p>
    <w:p w14:paraId="08AC3CFB"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Common swap types include:</w:t>
      </w:r>
    </w:p>
    <w:p w14:paraId="52AC16D0" w14:textId="77777777" w:rsidR="00C111F3" w:rsidRPr="00C111F3" w:rsidRDefault="00C111F3" w:rsidP="00C111F3">
      <w:pPr>
        <w:numPr>
          <w:ilvl w:val="0"/>
          <w:numId w:val="8"/>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Interest Rate Swaps </w:t>
      </w:r>
    </w:p>
    <w:p w14:paraId="2EF41B28" w14:textId="77777777" w:rsidR="00C111F3" w:rsidRPr="00C111F3" w:rsidRDefault="00C111F3" w:rsidP="00C111F3">
      <w:pPr>
        <w:numPr>
          <w:ilvl w:val="0"/>
          <w:numId w:val="8"/>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Currency Swaps </w:t>
      </w:r>
    </w:p>
    <w:p w14:paraId="65C28F17" w14:textId="77777777" w:rsidR="00C111F3" w:rsidRPr="00C111F3" w:rsidRDefault="00C111F3" w:rsidP="00C111F3">
      <w:pPr>
        <w:numPr>
          <w:ilvl w:val="0"/>
          <w:numId w:val="8"/>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Credit Default Swaps </w:t>
      </w:r>
    </w:p>
    <w:p w14:paraId="73F86315" w14:textId="77777777" w:rsidR="00C111F3" w:rsidRPr="00C111F3" w:rsidRDefault="00C111F3" w:rsidP="00C111F3">
      <w:pPr>
        <w:numPr>
          <w:ilvl w:val="0"/>
          <w:numId w:val="8"/>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Commodity Swaps </w:t>
      </w:r>
    </w:p>
    <w:p w14:paraId="1AFE14E4" w14:textId="77777777" w:rsidR="00C111F3" w:rsidRPr="00C111F3" w:rsidRDefault="00C111F3" w:rsidP="00C111F3">
      <w:pPr>
        <w:numPr>
          <w:ilvl w:val="0"/>
          <w:numId w:val="8"/>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lastRenderedPageBreak/>
        <w:t xml:space="preserve">Inflation Swaps </w:t>
      </w:r>
    </w:p>
    <w:p w14:paraId="207436D6" w14:textId="77777777" w:rsidR="00C111F3" w:rsidRPr="00C111F3" w:rsidRDefault="00C111F3" w:rsidP="00C111F3">
      <w:pPr>
        <w:numPr>
          <w:ilvl w:val="0"/>
          <w:numId w:val="8"/>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Total Return Swaps </w:t>
      </w:r>
    </w:p>
    <w:p w14:paraId="25687893"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For example, in an interest rate swap:</w:t>
      </w:r>
    </w:p>
    <w:p w14:paraId="33E66829" w14:textId="77777777" w:rsidR="00C111F3" w:rsidRPr="00C111F3" w:rsidRDefault="00C111F3" w:rsidP="00C111F3">
      <w:pPr>
        <w:numPr>
          <w:ilvl w:val="0"/>
          <w:numId w:val="9"/>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One party may pay a fixed interest rate. </w:t>
      </w:r>
    </w:p>
    <w:p w14:paraId="2936AEAF" w14:textId="77777777" w:rsidR="00C111F3" w:rsidRPr="00C111F3" w:rsidRDefault="00C111F3" w:rsidP="00C111F3">
      <w:pPr>
        <w:numPr>
          <w:ilvl w:val="0"/>
          <w:numId w:val="9"/>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The other party may pay a floating interest rate. </w:t>
      </w:r>
    </w:p>
    <w:p w14:paraId="31D8357C"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Swaps are widely used to restructure financing costs and manage market exposures.</w:t>
      </w:r>
    </w:p>
    <w:p w14:paraId="69C56C2F" w14:textId="77777777" w:rsidR="00C111F3" w:rsidRPr="00C111F3" w:rsidRDefault="00C111F3" w:rsidP="00C111F3">
      <w:pPr>
        <w:spacing w:beforeAutospacing="1" w:after="100" w:afterAutospacing="1" w:line="240" w:lineRule="auto"/>
        <w:outlineLvl w:val="0"/>
        <w:rPr>
          <w:rFonts w:eastAsia="Times New Roman" w:cs="Times New Roman"/>
          <w:b/>
          <w:bCs/>
          <w:kern w:val="36"/>
          <w:sz w:val="48"/>
          <w:szCs w:val="48"/>
          <w14:ligatures w14:val="none"/>
        </w:rPr>
      </w:pPr>
      <w:r w:rsidRPr="00C111F3">
        <w:rPr>
          <w:rFonts w:eastAsia="Times New Roman" w:cs="Times New Roman"/>
          <w:b/>
          <w:bCs/>
          <w:kern w:val="36"/>
          <w:sz w:val="48"/>
          <w:szCs w:val="48"/>
          <w14:ligatures w14:val="none"/>
        </w:rPr>
        <w:t>5. Swaptions</w:t>
      </w:r>
    </w:p>
    <w:p w14:paraId="55D424BC"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A swaption is an option granting the right to enter into a swap agreement at a future date.</w:t>
      </w:r>
    </w:p>
    <w:p w14:paraId="46921C15"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Swaptions are heavily used in:</w:t>
      </w:r>
    </w:p>
    <w:p w14:paraId="6E4C3F06" w14:textId="77777777" w:rsidR="00C111F3" w:rsidRPr="00C111F3" w:rsidRDefault="00C111F3" w:rsidP="00C111F3">
      <w:pPr>
        <w:numPr>
          <w:ilvl w:val="0"/>
          <w:numId w:val="10"/>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Interest rate risk management </w:t>
      </w:r>
    </w:p>
    <w:p w14:paraId="7E1AAA82" w14:textId="77777777" w:rsidR="00C111F3" w:rsidRPr="00C111F3" w:rsidRDefault="00C111F3" w:rsidP="00C111F3">
      <w:pPr>
        <w:numPr>
          <w:ilvl w:val="0"/>
          <w:numId w:val="10"/>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Structured finance </w:t>
      </w:r>
    </w:p>
    <w:p w14:paraId="600C3BA1" w14:textId="77777777" w:rsidR="00C111F3" w:rsidRPr="00C111F3" w:rsidRDefault="00C111F3" w:rsidP="00C111F3">
      <w:pPr>
        <w:numPr>
          <w:ilvl w:val="0"/>
          <w:numId w:val="10"/>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Mortgage-backed securities </w:t>
      </w:r>
    </w:p>
    <w:p w14:paraId="505879D0" w14:textId="77777777" w:rsidR="00C111F3" w:rsidRPr="00C111F3" w:rsidRDefault="00C111F3" w:rsidP="00C111F3">
      <w:pPr>
        <w:numPr>
          <w:ilvl w:val="0"/>
          <w:numId w:val="10"/>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Institutional portfolio hedging </w:t>
      </w:r>
    </w:p>
    <w:p w14:paraId="6D45F0BC"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They are considered advanced derivatives because they combine characteristics of both swaps and options.</w:t>
      </w:r>
    </w:p>
    <w:p w14:paraId="1001D6ED" w14:textId="77777777" w:rsidR="00C111F3" w:rsidRPr="00C111F3" w:rsidRDefault="00C111F3" w:rsidP="00EE7A02">
      <w:pPr>
        <w:pStyle w:val="Subtitle"/>
        <w:rPr>
          <w:rFonts w:eastAsia="Times New Roman"/>
        </w:rPr>
      </w:pPr>
      <w:r w:rsidRPr="00C111F3">
        <w:rPr>
          <w:rFonts w:eastAsia="Times New Roman"/>
        </w:rPr>
        <w:t>Exchange-Traded vs. Over-the-Counter Derivatives</w:t>
      </w:r>
    </w:p>
    <w:p w14:paraId="319F0D54"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Financial derivatives generally fall into two trading categories.</w:t>
      </w:r>
    </w:p>
    <w:p w14:paraId="3DCF1114" w14:textId="77777777" w:rsidR="00C111F3" w:rsidRPr="00C111F3" w:rsidRDefault="00C111F3" w:rsidP="00C111F3">
      <w:pPr>
        <w:spacing w:beforeAutospacing="1" w:after="100" w:afterAutospacing="1" w:line="240" w:lineRule="auto"/>
        <w:outlineLvl w:val="1"/>
        <w:rPr>
          <w:rFonts w:eastAsia="Times New Roman" w:cs="Times New Roman"/>
          <w:b/>
          <w:bCs/>
          <w:kern w:val="0"/>
          <w:sz w:val="36"/>
          <w:szCs w:val="36"/>
          <w14:ligatures w14:val="none"/>
        </w:rPr>
      </w:pPr>
      <w:r w:rsidRPr="00C111F3">
        <w:rPr>
          <w:rFonts w:eastAsia="Times New Roman" w:cs="Times New Roman"/>
          <w:b/>
          <w:bCs/>
          <w:kern w:val="0"/>
          <w:sz w:val="36"/>
          <w:szCs w:val="36"/>
          <w14:ligatures w14:val="none"/>
        </w:rPr>
        <w:t>Exchange-Traded Derivatives</w:t>
      </w:r>
    </w:p>
    <w:p w14:paraId="4BCF03A2"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These instruments trade on organized exchanges such as futures and options exchanges.</w:t>
      </w:r>
    </w:p>
    <w:p w14:paraId="5FCB2FBF"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Characteristics include:</w:t>
      </w:r>
    </w:p>
    <w:p w14:paraId="10F3A0AF" w14:textId="77777777" w:rsidR="00C111F3" w:rsidRPr="00C111F3" w:rsidRDefault="00C111F3" w:rsidP="00C111F3">
      <w:pPr>
        <w:numPr>
          <w:ilvl w:val="0"/>
          <w:numId w:val="1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Standardized contracts </w:t>
      </w:r>
    </w:p>
    <w:p w14:paraId="6D681B6F" w14:textId="77777777" w:rsidR="00C111F3" w:rsidRPr="00C111F3" w:rsidRDefault="00C111F3" w:rsidP="00C111F3">
      <w:pPr>
        <w:numPr>
          <w:ilvl w:val="0"/>
          <w:numId w:val="1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Centralized clearing </w:t>
      </w:r>
    </w:p>
    <w:p w14:paraId="4DF16490" w14:textId="77777777" w:rsidR="00C111F3" w:rsidRPr="00C111F3" w:rsidRDefault="00C111F3" w:rsidP="00C111F3">
      <w:pPr>
        <w:numPr>
          <w:ilvl w:val="0"/>
          <w:numId w:val="1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Daily margining </w:t>
      </w:r>
    </w:p>
    <w:p w14:paraId="40ABD03D" w14:textId="77777777" w:rsidR="00C111F3" w:rsidRPr="00C111F3" w:rsidRDefault="00C111F3" w:rsidP="00C111F3">
      <w:pPr>
        <w:numPr>
          <w:ilvl w:val="0"/>
          <w:numId w:val="1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Reduced counterparty risk </w:t>
      </w:r>
    </w:p>
    <w:p w14:paraId="1A608B87" w14:textId="77777777" w:rsidR="00C111F3" w:rsidRPr="00C111F3" w:rsidRDefault="00C111F3" w:rsidP="00C111F3">
      <w:pPr>
        <w:numPr>
          <w:ilvl w:val="0"/>
          <w:numId w:val="1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High liquidity </w:t>
      </w:r>
    </w:p>
    <w:p w14:paraId="04D58BF2"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Examples include:</w:t>
      </w:r>
    </w:p>
    <w:p w14:paraId="0F66647C" w14:textId="77777777" w:rsidR="00C111F3" w:rsidRPr="00C111F3" w:rsidRDefault="00C111F3" w:rsidP="00C111F3">
      <w:pPr>
        <w:numPr>
          <w:ilvl w:val="0"/>
          <w:numId w:val="1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Equity options </w:t>
      </w:r>
    </w:p>
    <w:p w14:paraId="6629AAE8" w14:textId="77777777" w:rsidR="00C111F3" w:rsidRPr="00C111F3" w:rsidRDefault="00C111F3" w:rsidP="00C111F3">
      <w:pPr>
        <w:numPr>
          <w:ilvl w:val="0"/>
          <w:numId w:val="1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Commodity futures </w:t>
      </w:r>
    </w:p>
    <w:p w14:paraId="678E7985" w14:textId="77777777" w:rsidR="00C111F3" w:rsidRPr="00C111F3" w:rsidRDefault="00C111F3" w:rsidP="00C111F3">
      <w:pPr>
        <w:numPr>
          <w:ilvl w:val="0"/>
          <w:numId w:val="1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lastRenderedPageBreak/>
        <w:t xml:space="preserve">Index futures </w:t>
      </w:r>
    </w:p>
    <w:p w14:paraId="1AF42127" w14:textId="77777777" w:rsidR="00C111F3" w:rsidRPr="00C111F3" w:rsidRDefault="00C111F3" w:rsidP="00C111F3">
      <w:pPr>
        <w:spacing w:beforeAutospacing="1" w:after="100" w:afterAutospacing="1" w:line="240" w:lineRule="auto"/>
        <w:outlineLvl w:val="1"/>
        <w:rPr>
          <w:rFonts w:eastAsia="Times New Roman" w:cs="Times New Roman"/>
          <w:b/>
          <w:bCs/>
          <w:kern w:val="0"/>
          <w:sz w:val="36"/>
          <w:szCs w:val="36"/>
          <w14:ligatures w14:val="none"/>
        </w:rPr>
      </w:pPr>
      <w:proofErr w:type="gramStart"/>
      <w:r w:rsidRPr="00C111F3">
        <w:rPr>
          <w:rFonts w:eastAsia="Times New Roman" w:cs="Times New Roman"/>
          <w:b/>
          <w:bCs/>
          <w:kern w:val="0"/>
          <w:sz w:val="36"/>
          <w:szCs w:val="36"/>
          <w14:ligatures w14:val="none"/>
        </w:rPr>
        <w:t>Over-the-Counter</w:t>
      </w:r>
      <w:proofErr w:type="gramEnd"/>
      <w:r w:rsidRPr="00C111F3">
        <w:rPr>
          <w:rFonts w:eastAsia="Times New Roman" w:cs="Times New Roman"/>
          <w:b/>
          <w:bCs/>
          <w:kern w:val="0"/>
          <w:sz w:val="36"/>
          <w:szCs w:val="36"/>
          <w14:ligatures w14:val="none"/>
        </w:rPr>
        <w:t xml:space="preserve"> (OTC) Derivatives</w:t>
      </w:r>
    </w:p>
    <w:p w14:paraId="22A888F2"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OTC derivatives are privately negotiated between counterparties.</w:t>
      </w:r>
    </w:p>
    <w:p w14:paraId="369A7319"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Characteristics include:</w:t>
      </w:r>
    </w:p>
    <w:p w14:paraId="5E3E4EFC" w14:textId="77777777" w:rsidR="00C111F3" w:rsidRPr="00C111F3" w:rsidRDefault="00C111F3" w:rsidP="00C111F3">
      <w:pPr>
        <w:numPr>
          <w:ilvl w:val="0"/>
          <w:numId w:val="13"/>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Highly customizable contracts </w:t>
      </w:r>
    </w:p>
    <w:p w14:paraId="17690FA3" w14:textId="77777777" w:rsidR="00C111F3" w:rsidRPr="00C111F3" w:rsidRDefault="00C111F3" w:rsidP="00C111F3">
      <w:pPr>
        <w:numPr>
          <w:ilvl w:val="0"/>
          <w:numId w:val="13"/>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Bilateral agreements </w:t>
      </w:r>
    </w:p>
    <w:p w14:paraId="34899DE2" w14:textId="77777777" w:rsidR="00C111F3" w:rsidRPr="00C111F3" w:rsidRDefault="00C111F3" w:rsidP="00C111F3">
      <w:pPr>
        <w:numPr>
          <w:ilvl w:val="0"/>
          <w:numId w:val="13"/>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Flexible settlement structures </w:t>
      </w:r>
    </w:p>
    <w:p w14:paraId="1E7AAD63" w14:textId="77777777" w:rsidR="00C111F3" w:rsidRPr="00C111F3" w:rsidRDefault="00C111F3" w:rsidP="00C111F3">
      <w:pPr>
        <w:numPr>
          <w:ilvl w:val="0"/>
          <w:numId w:val="13"/>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Greater counterparty exposure </w:t>
      </w:r>
    </w:p>
    <w:p w14:paraId="635A70FA" w14:textId="77777777" w:rsidR="00C111F3" w:rsidRPr="00C111F3" w:rsidRDefault="00C111F3" w:rsidP="00C111F3">
      <w:pPr>
        <w:numPr>
          <w:ilvl w:val="0"/>
          <w:numId w:val="13"/>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Complex documentation requirements </w:t>
      </w:r>
    </w:p>
    <w:p w14:paraId="1FAD01A3"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Examples include:</w:t>
      </w:r>
    </w:p>
    <w:p w14:paraId="4B248363" w14:textId="77777777" w:rsidR="00C111F3" w:rsidRPr="00C111F3" w:rsidRDefault="00C111F3" w:rsidP="00C111F3">
      <w:pPr>
        <w:numPr>
          <w:ilvl w:val="0"/>
          <w:numId w:val="14"/>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Interest rate swaps </w:t>
      </w:r>
    </w:p>
    <w:p w14:paraId="52D13725" w14:textId="77777777" w:rsidR="00C111F3" w:rsidRPr="00C111F3" w:rsidRDefault="00C111F3" w:rsidP="00C111F3">
      <w:pPr>
        <w:numPr>
          <w:ilvl w:val="0"/>
          <w:numId w:val="14"/>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FX forwards </w:t>
      </w:r>
    </w:p>
    <w:p w14:paraId="3F3D598A" w14:textId="77777777" w:rsidR="00C111F3" w:rsidRPr="00C111F3" w:rsidRDefault="00C111F3" w:rsidP="00C111F3">
      <w:pPr>
        <w:numPr>
          <w:ilvl w:val="0"/>
          <w:numId w:val="14"/>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Credit default swaps </w:t>
      </w:r>
    </w:p>
    <w:p w14:paraId="2FA0C778" w14:textId="77777777" w:rsidR="00C111F3" w:rsidRPr="00C111F3" w:rsidRDefault="00C111F3" w:rsidP="00C111F3">
      <w:pPr>
        <w:numPr>
          <w:ilvl w:val="0"/>
          <w:numId w:val="14"/>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Structured products </w:t>
      </w:r>
    </w:p>
    <w:p w14:paraId="181C2AC3" w14:textId="77777777" w:rsidR="00C111F3" w:rsidRPr="00C111F3" w:rsidRDefault="00C111F3" w:rsidP="00C111F3">
      <w:pPr>
        <w:spacing w:beforeAutospacing="1" w:after="100" w:afterAutospacing="1" w:line="240" w:lineRule="auto"/>
        <w:outlineLvl w:val="0"/>
        <w:rPr>
          <w:rFonts w:eastAsia="Times New Roman" w:cs="Times New Roman"/>
          <w:b/>
          <w:bCs/>
          <w:kern w:val="36"/>
          <w:sz w:val="48"/>
          <w:szCs w:val="48"/>
          <w14:ligatures w14:val="none"/>
        </w:rPr>
      </w:pPr>
      <w:r w:rsidRPr="00C111F3">
        <w:rPr>
          <w:rFonts w:eastAsia="Times New Roman" w:cs="Times New Roman"/>
          <w:b/>
          <w:bCs/>
          <w:kern w:val="36"/>
          <w:sz w:val="48"/>
          <w:szCs w:val="48"/>
          <w14:ligatures w14:val="none"/>
        </w:rPr>
        <w:t>Risk Associated with Derivatives</w:t>
      </w:r>
    </w:p>
    <w:p w14:paraId="0BA12A46"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While derivatives provide powerful financial tools, they also introduce significant risks.</w:t>
      </w:r>
    </w:p>
    <w:p w14:paraId="40DF7215"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Major derivative risks include:</w:t>
      </w:r>
    </w:p>
    <w:p w14:paraId="57286160" w14:textId="77777777" w:rsidR="00C111F3" w:rsidRPr="00C111F3" w:rsidRDefault="00C111F3" w:rsidP="00C111F3">
      <w:pPr>
        <w:numPr>
          <w:ilvl w:val="0"/>
          <w:numId w:val="1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Market Risk </w:t>
      </w:r>
    </w:p>
    <w:p w14:paraId="432C803C" w14:textId="77777777" w:rsidR="00C111F3" w:rsidRPr="00C111F3" w:rsidRDefault="00C111F3" w:rsidP="00C111F3">
      <w:pPr>
        <w:numPr>
          <w:ilvl w:val="0"/>
          <w:numId w:val="1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Credit Risk </w:t>
      </w:r>
    </w:p>
    <w:p w14:paraId="1D4047E7" w14:textId="77777777" w:rsidR="00C111F3" w:rsidRPr="00C111F3" w:rsidRDefault="00C111F3" w:rsidP="00C111F3">
      <w:pPr>
        <w:numPr>
          <w:ilvl w:val="0"/>
          <w:numId w:val="1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Counterparty Risk </w:t>
      </w:r>
    </w:p>
    <w:p w14:paraId="4613350C" w14:textId="77777777" w:rsidR="00C111F3" w:rsidRPr="00C111F3" w:rsidRDefault="00C111F3" w:rsidP="00C111F3">
      <w:pPr>
        <w:numPr>
          <w:ilvl w:val="0"/>
          <w:numId w:val="1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Liquidity Risk </w:t>
      </w:r>
    </w:p>
    <w:p w14:paraId="69E6D5D0" w14:textId="77777777" w:rsidR="00C111F3" w:rsidRPr="00C111F3" w:rsidRDefault="00C111F3" w:rsidP="00C111F3">
      <w:pPr>
        <w:numPr>
          <w:ilvl w:val="0"/>
          <w:numId w:val="1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Settlement Risk </w:t>
      </w:r>
    </w:p>
    <w:p w14:paraId="57A57F34" w14:textId="77777777" w:rsidR="00C111F3" w:rsidRPr="00C111F3" w:rsidRDefault="00C111F3" w:rsidP="00C111F3">
      <w:pPr>
        <w:numPr>
          <w:ilvl w:val="0"/>
          <w:numId w:val="1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Operational Risk </w:t>
      </w:r>
    </w:p>
    <w:p w14:paraId="030DC449" w14:textId="77777777" w:rsidR="00C111F3" w:rsidRPr="00C111F3" w:rsidRDefault="00C111F3" w:rsidP="00C111F3">
      <w:pPr>
        <w:numPr>
          <w:ilvl w:val="0"/>
          <w:numId w:val="1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Model Risk </w:t>
      </w:r>
    </w:p>
    <w:p w14:paraId="422FE88E" w14:textId="77777777" w:rsidR="00C111F3" w:rsidRPr="00C111F3" w:rsidRDefault="00C111F3" w:rsidP="00C111F3">
      <w:pPr>
        <w:numPr>
          <w:ilvl w:val="0"/>
          <w:numId w:val="15"/>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Regulatory Risk </w:t>
      </w:r>
    </w:p>
    <w:p w14:paraId="42F966BB"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Because derivatives can create leveraged exposure, small market movements may generate very large gains or losses.</w:t>
      </w:r>
    </w:p>
    <w:p w14:paraId="595C60B0" w14:textId="77777777" w:rsidR="00C111F3" w:rsidRPr="00C111F3" w:rsidRDefault="00C111F3" w:rsidP="00EE7A02">
      <w:pPr>
        <w:pStyle w:val="Subtitle"/>
        <w:rPr>
          <w:rFonts w:eastAsia="Times New Roman"/>
        </w:rPr>
      </w:pPr>
      <w:r w:rsidRPr="00C111F3">
        <w:rPr>
          <w:rFonts w:eastAsia="Times New Roman"/>
        </w:rPr>
        <w:t>The Importance of Derivatives Databases</w:t>
      </w:r>
    </w:p>
    <w:p w14:paraId="47F627DD"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Modern derivatives trading generates enormous volumes of transactions, pricing data, risk calculations, collateral movements, and regulatory reporting obligations. As a result, financial institutions require highly sophisticated databases capable of supporting:</w:t>
      </w:r>
    </w:p>
    <w:p w14:paraId="496420A7"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lastRenderedPageBreak/>
        <w:t xml:space="preserve">Trade capture </w:t>
      </w:r>
    </w:p>
    <w:p w14:paraId="21457891"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Real-time pricing </w:t>
      </w:r>
    </w:p>
    <w:p w14:paraId="012F1A9C"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Position management </w:t>
      </w:r>
    </w:p>
    <w:p w14:paraId="071C948A"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Risk analytics </w:t>
      </w:r>
    </w:p>
    <w:p w14:paraId="6E7B18A5"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Margin management </w:t>
      </w:r>
    </w:p>
    <w:p w14:paraId="036D6539"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Settlement processing </w:t>
      </w:r>
    </w:p>
    <w:p w14:paraId="16D0ED8A"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Market data integration </w:t>
      </w:r>
    </w:p>
    <w:p w14:paraId="68357297"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Regulatory compliance </w:t>
      </w:r>
    </w:p>
    <w:p w14:paraId="6579F22E"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Audit tracking </w:t>
      </w:r>
    </w:p>
    <w:p w14:paraId="124CBB0F" w14:textId="77777777" w:rsidR="00C111F3" w:rsidRPr="00C111F3" w:rsidRDefault="00C111F3" w:rsidP="00C111F3">
      <w:pPr>
        <w:numPr>
          <w:ilvl w:val="0"/>
          <w:numId w:val="16"/>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Multi-currency accounting </w:t>
      </w:r>
    </w:p>
    <w:p w14:paraId="24B0FAF4" w14:textId="6136E952"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derivatives database </w:t>
      </w:r>
      <w:r w:rsidR="00F5022D">
        <w:rPr>
          <w:rFonts w:eastAsia="Times New Roman" w:cs="Times New Roman"/>
          <w:kern w:val="0"/>
          <w:szCs w:val="24"/>
          <w14:ligatures w14:val="none"/>
        </w:rPr>
        <w:t>serves as the operational foundation for front-office trading, middle-office risk management, and back-office settlement</w:t>
      </w:r>
      <w:r w:rsidRPr="00C111F3">
        <w:rPr>
          <w:rFonts w:eastAsia="Times New Roman" w:cs="Times New Roman"/>
          <w:kern w:val="0"/>
          <w:szCs w:val="24"/>
          <w14:ligatures w14:val="none"/>
        </w:rPr>
        <w:t>.</w:t>
      </w:r>
    </w:p>
    <w:p w14:paraId="4C331070" w14:textId="77777777" w:rsidR="00C111F3" w:rsidRPr="00C111F3" w:rsidRDefault="00C111F3" w:rsidP="00EE7A02">
      <w:pPr>
        <w:pStyle w:val="Subtitle"/>
        <w:rPr>
          <w:rFonts w:eastAsia="Times New Roman"/>
        </w:rPr>
      </w:pPr>
      <w:r w:rsidRPr="00C111F3">
        <w:rPr>
          <w:rFonts w:eastAsia="Times New Roman"/>
        </w:rPr>
        <w:t>Financial Derivatives in the Global Economy</w:t>
      </w:r>
    </w:p>
    <w:p w14:paraId="5E0A70F4"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Derivatives play a major role in the global financial system by helping organizations manage uncertainty and transfer financial risk efficiently across markets. They support:</w:t>
      </w:r>
    </w:p>
    <w:p w14:paraId="519C196E" w14:textId="77777777" w:rsidR="00C111F3" w:rsidRPr="00C111F3" w:rsidRDefault="00C111F3" w:rsidP="00C111F3">
      <w:pPr>
        <w:numPr>
          <w:ilvl w:val="0"/>
          <w:numId w:val="1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International trade </w:t>
      </w:r>
    </w:p>
    <w:p w14:paraId="6C88742A" w14:textId="77777777" w:rsidR="00C111F3" w:rsidRPr="00C111F3" w:rsidRDefault="00C111F3" w:rsidP="00C111F3">
      <w:pPr>
        <w:numPr>
          <w:ilvl w:val="0"/>
          <w:numId w:val="1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Energy markets </w:t>
      </w:r>
    </w:p>
    <w:p w14:paraId="49DD5BFA" w14:textId="77777777" w:rsidR="00C111F3" w:rsidRPr="00C111F3" w:rsidRDefault="00C111F3" w:rsidP="00C111F3">
      <w:pPr>
        <w:numPr>
          <w:ilvl w:val="0"/>
          <w:numId w:val="1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Agricultural production </w:t>
      </w:r>
    </w:p>
    <w:p w14:paraId="4C1E753D" w14:textId="77777777" w:rsidR="00C111F3" w:rsidRPr="00C111F3" w:rsidRDefault="00C111F3" w:rsidP="00C111F3">
      <w:pPr>
        <w:numPr>
          <w:ilvl w:val="0"/>
          <w:numId w:val="1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Banking systems </w:t>
      </w:r>
    </w:p>
    <w:p w14:paraId="478482D2" w14:textId="77777777" w:rsidR="00C111F3" w:rsidRPr="00C111F3" w:rsidRDefault="00C111F3" w:rsidP="00C111F3">
      <w:pPr>
        <w:numPr>
          <w:ilvl w:val="0"/>
          <w:numId w:val="1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Pension management </w:t>
      </w:r>
    </w:p>
    <w:p w14:paraId="419B8E14" w14:textId="77777777" w:rsidR="00C111F3" w:rsidRPr="00C111F3" w:rsidRDefault="00C111F3" w:rsidP="00C111F3">
      <w:pPr>
        <w:numPr>
          <w:ilvl w:val="0"/>
          <w:numId w:val="1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Corporate treasury operations </w:t>
      </w:r>
    </w:p>
    <w:p w14:paraId="07A65C4D" w14:textId="77777777" w:rsidR="00C111F3" w:rsidRPr="00C111F3" w:rsidRDefault="00C111F3" w:rsidP="00C111F3">
      <w:pPr>
        <w:numPr>
          <w:ilvl w:val="0"/>
          <w:numId w:val="1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Investment management </w:t>
      </w:r>
    </w:p>
    <w:p w14:paraId="142FB0F2" w14:textId="77777777" w:rsidR="00C111F3" w:rsidRPr="00C111F3" w:rsidRDefault="00C111F3" w:rsidP="00C111F3">
      <w:pPr>
        <w:numPr>
          <w:ilvl w:val="0"/>
          <w:numId w:val="17"/>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Capital markets liquidity </w:t>
      </w:r>
    </w:p>
    <w:p w14:paraId="04A3E585"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Although derivatives can become highly complex, their core purpose remains relatively simple: enabling market participants to manage financial exposure, protect against uncertainty, and create structured financial strategies tailored to specific business or investment objectives.</w:t>
      </w:r>
    </w:p>
    <w:p w14:paraId="6ABFDF37" w14:textId="77777777" w:rsidR="00EE7A02" w:rsidRDefault="00EE7A02">
      <w:pPr>
        <w:spacing w:before="0" w:after="160" w:line="259" w:lineRule="auto"/>
      </w:pPr>
      <w:r>
        <w:br w:type="page"/>
      </w:r>
    </w:p>
    <w:p w14:paraId="095A3986" w14:textId="10295D04" w:rsidR="00371B58" w:rsidRPr="00EE7A02" w:rsidRDefault="00EE7A02" w:rsidP="00EE7A02">
      <w:pPr>
        <w:pStyle w:val="Subtitle"/>
        <w:rPr>
          <w:bCs/>
          <w:sz w:val="32"/>
          <w:szCs w:val="32"/>
        </w:rPr>
      </w:pPr>
      <w:r>
        <w:lastRenderedPageBreak/>
        <w:t>Conceptual Data Model</w:t>
      </w:r>
    </w:p>
    <w:p w14:paraId="6C663AD0" w14:textId="03234EEB" w:rsidR="00371B58" w:rsidRPr="00371B58" w:rsidRDefault="00371B58" w:rsidP="00371B58">
      <w:pPr>
        <w:jc w:val="center"/>
        <w:rPr>
          <w:lang w:val="it-IT"/>
        </w:rPr>
      </w:pPr>
    </w:p>
    <w:p w14:paraId="5FE78567" w14:textId="3416AABD" w:rsidR="00371B58" w:rsidRPr="00EE7A02" w:rsidRDefault="00EE7A02" w:rsidP="00EE7A02">
      <w:pPr>
        <w:jc w:val="center"/>
      </w:pPr>
      <w:r>
        <w:rPr>
          <w:noProof/>
        </w:rPr>
        <w:drawing>
          <wp:inline distT="0" distB="0" distL="0" distR="0" wp14:anchorId="4AA97079" wp14:editId="3BE0E9AE">
            <wp:extent cx="5019675" cy="3350633"/>
            <wp:effectExtent l="0" t="0" r="0" b="2540"/>
            <wp:docPr id="1688926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29791" cy="3357386"/>
                    </a:xfrm>
                    <a:prstGeom prst="rect">
                      <a:avLst/>
                    </a:prstGeom>
                    <a:noFill/>
                  </pic:spPr>
                </pic:pic>
              </a:graphicData>
            </a:graphic>
          </wp:inline>
        </w:drawing>
      </w:r>
    </w:p>
    <w:p w14:paraId="54D025F0" w14:textId="7C974D6E" w:rsidR="00371B58" w:rsidRDefault="00371B58" w:rsidP="00371B58">
      <w:pPr>
        <w:jc w:val="center"/>
      </w:pPr>
    </w:p>
    <w:p w14:paraId="7C39D516" w14:textId="7451C1DC" w:rsidR="0048625A" w:rsidRDefault="00EE7A02" w:rsidP="0048625A">
      <w:r>
        <w:t>The conceptual data model identifies the main business entities and their relationships</w:t>
      </w:r>
      <w:r w:rsidR="00F5022D">
        <w:t>.</w:t>
      </w:r>
    </w:p>
    <w:p w14:paraId="256717D0" w14:textId="7EDB4635" w:rsidR="0048625A" w:rsidRDefault="00C111F3" w:rsidP="00EE7A02">
      <w:pPr>
        <w:pStyle w:val="Subtitle"/>
      </w:pPr>
      <w:r>
        <w:t>Entity Data Dictionary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5"/>
        <w:gridCol w:w="7525"/>
      </w:tblGrid>
      <w:tr w:rsidR="00C111F3" w:rsidRPr="00C111F3" w14:paraId="0E91751C" w14:textId="77777777" w:rsidTr="00C111F3">
        <w:trPr>
          <w:tblHeader/>
          <w:tblCellSpacing w:w="15" w:type="dxa"/>
        </w:trPr>
        <w:tc>
          <w:tcPr>
            <w:tcW w:w="0" w:type="auto"/>
            <w:shd w:val="clear" w:color="auto" w:fill="F2F2F2" w:themeFill="background1" w:themeFillShade="F2"/>
            <w:vAlign w:val="center"/>
            <w:hideMark/>
          </w:tcPr>
          <w:p w14:paraId="47882C09" w14:textId="77777777" w:rsidR="00C111F3" w:rsidRPr="00C111F3" w:rsidRDefault="00C111F3" w:rsidP="00C111F3">
            <w:pPr>
              <w:spacing w:before="0" w:after="0" w:line="240" w:lineRule="auto"/>
              <w:jc w:val="center"/>
              <w:rPr>
                <w:rFonts w:eastAsia="Times New Roman" w:cs="Times New Roman"/>
                <w:b/>
                <w:bCs/>
                <w:kern w:val="0"/>
                <w:szCs w:val="24"/>
                <w14:ligatures w14:val="none"/>
              </w:rPr>
            </w:pPr>
            <w:r w:rsidRPr="00C111F3">
              <w:rPr>
                <w:rFonts w:eastAsia="Times New Roman" w:cs="Times New Roman"/>
                <w:b/>
                <w:bCs/>
                <w:kern w:val="0"/>
                <w:szCs w:val="24"/>
                <w14:ligatures w14:val="none"/>
              </w:rPr>
              <w:t>Entity Name</w:t>
            </w:r>
          </w:p>
        </w:tc>
        <w:tc>
          <w:tcPr>
            <w:tcW w:w="0" w:type="auto"/>
            <w:shd w:val="clear" w:color="auto" w:fill="F2F2F2" w:themeFill="background1" w:themeFillShade="F2"/>
            <w:vAlign w:val="center"/>
            <w:hideMark/>
          </w:tcPr>
          <w:p w14:paraId="4E0E1D93" w14:textId="77777777" w:rsidR="00C111F3" w:rsidRPr="00C111F3" w:rsidRDefault="00C111F3" w:rsidP="00C111F3">
            <w:pPr>
              <w:spacing w:before="0" w:after="0" w:line="240" w:lineRule="auto"/>
              <w:jc w:val="center"/>
              <w:rPr>
                <w:rFonts w:eastAsia="Times New Roman" w:cs="Times New Roman"/>
                <w:b/>
                <w:bCs/>
                <w:kern w:val="0"/>
                <w:szCs w:val="24"/>
                <w14:ligatures w14:val="none"/>
              </w:rPr>
            </w:pPr>
            <w:r w:rsidRPr="00C111F3">
              <w:rPr>
                <w:rFonts w:eastAsia="Times New Roman" w:cs="Times New Roman"/>
                <w:b/>
                <w:bCs/>
                <w:kern w:val="0"/>
                <w:szCs w:val="24"/>
                <w14:ligatures w14:val="none"/>
              </w:rPr>
              <w:t>Description</w:t>
            </w:r>
          </w:p>
        </w:tc>
      </w:tr>
      <w:tr w:rsidR="00C111F3" w:rsidRPr="00C111F3" w14:paraId="11582C5E" w14:textId="77777777">
        <w:trPr>
          <w:tblCellSpacing w:w="15" w:type="dxa"/>
        </w:trPr>
        <w:tc>
          <w:tcPr>
            <w:tcW w:w="0" w:type="auto"/>
            <w:vAlign w:val="center"/>
            <w:hideMark/>
          </w:tcPr>
          <w:p w14:paraId="7D466B71"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Country</w:t>
            </w:r>
          </w:p>
        </w:tc>
        <w:tc>
          <w:tcPr>
            <w:tcW w:w="0" w:type="auto"/>
            <w:vAlign w:val="center"/>
            <w:hideMark/>
          </w:tcPr>
          <w:p w14:paraId="1194B7B4" w14:textId="77777777" w:rsidR="00C111F3" w:rsidRPr="00C111F3" w:rsidRDefault="00C111F3" w:rsidP="00C111F3">
            <w:pPr>
              <w:spacing w:before="0" w:after="0" w:line="240" w:lineRule="auto"/>
              <w:rPr>
                <w:rFonts w:eastAsia="Times New Roman" w:cs="Times New Roman"/>
                <w:kern w:val="0"/>
                <w:szCs w:val="24"/>
                <w14:ligatures w14:val="none"/>
              </w:rPr>
            </w:pPr>
            <w:proofErr w:type="gramStart"/>
            <w:r w:rsidRPr="00C111F3">
              <w:rPr>
                <w:rFonts w:eastAsia="Times New Roman" w:cs="Times New Roman"/>
                <w:kern w:val="0"/>
                <w:szCs w:val="24"/>
                <w14:ligatures w14:val="none"/>
              </w:rPr>
              <w:t>Stores country</w:t>
            </w:r>
            <w:proofErr w:type="gramEnd"/>
            <w:r w:rsidRPr="00C111F3">
              <w:rPr>
                <w:rFonts w:eastAsia="Times New Roman" w:cs="Times New Roman"/>
                <w:kern w:val="0"/>
                <w:szCs w:val="24"/>
                <w14:ligatures w14:val="none"/>
              </w:rPr>
              <w:t xml:space="preserve"> reference data used for legal entities, exchanges, brokers, clearing houses, regulatory jurisdictions, and market classification.</w:t>
            </w:r>
          </w:p>
        </w:tc>
      </w:tr>
      <w:tr w:rsidR="00C111F3" w:rsidRPr="00C111F3" w14:paraId="15E83F2E" w14:textId="77777777">
        <w:trPr>
          <w:tblCellSpacing w:w="15" w:type="dxa"/>
        </w:trPr>
        <w:tc>
          <w:tcPr>
            <w:tcW w:w="0" w:type="auto"/>
            <w:vAlign w:val="center"/>
            <w:hideMark/>
          </w:tcPr>
          <w:p w14:paraId="7EAAB98F"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Currency</w:t>
            </w:r>
          </w:p>
        </w:tc>
        <w:tc>
          <w:tcPr>
            <w:tcW w:w="0" w:type="auto"/>
            <w:vAlign w:val="center"/>
            <w:hideMark/>
          </w:tcPr>
          <w:p w14:paraId="769D919E"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Stores currency codes, currency names, symbols, decimal precision, and currency reference information used for trading, settlement, valuation, and accounting.</w:t>
            </w:r>
          </w:p>
        </w:tc>
      </w:tr>
      <w:tr w:rsidR="00C111F3" w:rsidRPr="00C111F3" w14:paraId="66991049" w14:textId="77777777">
        <w:trPr>
          <w:tblCellSpacing w:w="15" w:type="dxa"/>
        </w:trPr>
        <w:tc>
          <w:tcPr>
            <w:tcW w:w="0" w:type="auto"/>
            <w:vAlign w:val="center"/>
            <w:hideMark/>
          </w:tcPr>
          <w:p w14:paraId="09CC8707"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Exchange</w:t>
            </w:r>
          </w:p>
        </w:tc>
        <w:tc>
          <w:tcPr>
            <w:tcW w:w="0" w:type="auto"/>
            <w:vAlign w:val="center"/>
            <w:hideMark/>
          </w:tcPr>
          <w:p w14:paraId="0664DDAE"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Identifies organized trading venues where financial instruments, derivatives, equities, futures, commodities, and other products may be listed or traded.</w:t>
            </w:r>
          </w:p>
        </w:tc>
      </w:tr>
      <w:tr w:rsidR="00C111F3" w:rsidRPr="00C111F3" w14:paraId="33DE8BA9" w14:textId="77777777">
        <w:trPr>
          <w:tblCellSpacing w:w="15" w:type="dxa"/>
        </w:trPr>
        <w:tc>
          <w:tcPr>
            <w:tcW w:w="0" w:type="auto"/>
            <w:vAlign w:val="center"/>
            <w:hideMark/>
          </w:tcPr>
          <w:p w14:paraId="1912A394"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Clearing House</w:t>
            </w:r>
          </w:p>
        </w:tc>
        <w:tc>
          <w:tcPr>
            <w:tcW w:w="0" w:type="auto"/>
            <w:vAlign w:val="center"/>
            <w:hideMark/>
          </w:tcPr>
          <w:p w14:paraId="7B1A1D2F"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organizations that clear, guarantee, margin, and settle trades between trading counterparties.</w:t>
            </w:r>
          </w:p>
        </w:tc>
      </w:tr>
      <w:tr w:rsidR="00C111F3" w:rsidRPr="00C111F3" w14:paraId="4C9A91D1" w14:textId="77777777">
        <w:trPr>
          <w:tblCellSpacing w:w="15" w:type="dxa"/>
        </w:trPr>
        <w:tc>
          <w:tcPr>
            <w:tcW w:w="0" w:type="auto"/>
            <w:vAlign w:val="center"/>
            <w:hideMark/>
          </w:tcPr>
          <w:p w14:paraId="7BA0A855"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Exchange Rate</w:t>
            </w:r>
          </w:p>
        </w:tc>
        <w:tc>
          <w:tcPr>
            <w:tcW w:w="0" w:type="auto"/>
            <w:vAlign w:val="center"/>
            <w:hideMark/>
          </w:tcPr>
          <w:p w14:paraId="5D66D231"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Stores currency conversion rates used for multi-currency valuation, settlement, reporting, and exposure analysis.</w:t>
            </w:r>
          </w:p>
        </w:tc>
      </w:tr>
      <w:tr w:rsidR="00C111F3" w:rsidRPr="00C111F3" w14:paraId="6E3281D2" w14:textId="77777777">
        <w:trPr>
          <w:tblCellSpacing w:w="15" w:type="dxa"/>
        </w:trPr>
        <w:tc>
          <w:tcPr>
            <w:tcW w:w="0" w:type="auto"/>
            <w:vAlign w:val="center"/>
            <w:hideMark/>
          </w:tcPr>
          <w:p w14:paraId="60D8EDF8"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Legal Entity</w:t>
            </w:r>
          </w:p>
        </w:tc>
        <w:tc>
          <w:tcPr>
            <w:tcW w:w="0" w:type="auto"/>
            <w:vAlign w:val="center"/>
            <w:hideMark/>
          </w:tcPr>
          <w:p w14:paraId="7D2E2446"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customers, counterparties, banks, brokers, funds, dealers, custodians, and other legally recognized organizations.</w:t>
            </w:r>
          </w:p>
        </w:tc>
      </w:tr>
      <w:tr w:rsidR="00C111F3" w:rsidRPr="00C111F3" w14:paraId="679368D9" w14:textId="77777777">
        <w:trPr>
          <w:tblCellSpacing w:w="15" w:type="dxa"/>
        </w:trPr>
        <w:tc>
          <w:tcPr>
            <w:tcW w:w="0" w:type="auto"/>
            <w:vAlign w:val="center"/>
            <w:hideMark/>
          </w:tcPr>
          <w:p w14:paraId="22AB40D0"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lastRenderedPageBreak/>
              <w:t>Customer</w:t>
            </w:r>
          </w:p>
        </w:tc>
        <w:tc>
          <w:tcPr>
            <w:tcW w:w="0" w:type="auto"/>
            <w:vAlign w:val="center"/>
            <w:hideMark/>
          </w:tcPr>
          <w:p w14:paraId="1EE23837"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an individual or institutional trading client that owns one or more trading accounts.</w:t>
            </w:r>
          </w:p>
        </w:tc>
      </w:tr>
      <w:tr w:rsidR="00C111F3" w:rsidRPr="00C111F3" w14:paraId="5AC757D8" w14:textId="77777777">
        <w:trPr>
          <w:tblCellSpacing w:w="15" w:type="dxa"/>
        </w:trPr>
        <w:tc>
          <w:tcPr>
            <w:tcW w:w="0" w:type="auto"/>
            <w:vAlign w:val="center"/>
            <w:hideMark/>
          </w:tcPr>
          <w:p w14:paraId="1D2A48FE"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Counterparty</w:t>
            </w:r>
          </w:p>
        </w:tc>
        <w:tc>
          <w:tcPr>
            <w:tcW w:w="0" w:type="auto"/>
            <w:vAlign w:val="center"/>
            <w:hideMark/>
          </w:tcPr>
          <w:p w14:paraId="7A3EEAEC"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the opposite party to a trade, especially for over-the-counter derivatives and bilateral agreements.</w:t>
            </w:r>
          </w:p>
        </w:tc>
      </w:tr>
      <w:tr w:rsidR="00C111F3" w:rsidRPr="00C111F3" w14:paraId="3BEA2F48" w14:textId="77777777">
        <w:trPr>
          <w:tblCellSpacing w:w="15" w:type="dxa"/>
        </w:trPr>
        <w:tc>
          <w:tcPr>
            <w:tcW w:w="0" w:type="auto"/>
            <w:vAlign w:val="center"/>
            <w:hideMark/>
          </w:tcPr>
          <w:p w14:paraId="2C81D9E7"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Broker</w:t>
            </w:r>
          </w:p>
        </w:tc>
        <w:tc>
          <w:tcPr>
            <w:tcW w:w="0" w:type="auto"/>
            <w:vAlign w:val="center"/>
            <w:hideMark/>
          </w:tcPr>
          <w:p w14:paraId="0C9143FE"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firms that execute, route, introduce, or facilitate trades on behalf of customers or trading desks.</w:t>
            </w:r>
          </w:p>
        </w:tc>
      </w:tr>
      <w:tr w:rsidR="00C111F3" w:rsidRPr="00C111F3" w14:paraId="7A9398E8" w14:textId="77777777">
        <w:trPr>
          <w:tblCellSpacing w:w="15" w:type="dxa"/>
        </w:trPr>
        <w:tc>
          <w:tcPr>
            <w:tcW w:w="0" w:type="auto"/>
            <w:vAlign w:val="center"/>
            <w:hideMark/>
          </w:tcPr>
          <w:p w14:paraId="2224A5FD"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Account</w:t>
            </w:r>
          </w:p>
        </w:tc>
        <w:tc>
          <w:tcPr>
            <w:tcW w:w="0" w:type="auto"/>
            <w:vAlign w:val="center"/>
            <w:hideMark/>
          </w:tcPr>
          <w:p w14:paraId="7300A3AA"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customer trading accounts used to hold positions, book trades, manage cash, and calculate exposure.</w:t>
            </w:r>
          </w:p>
        </w:tc>
      </w:tr>
      <w:tr w:rsidR="00C111F3" w:rsidRPr="00C111F3" w14:paraId="39F102F8" w14:textId="77777777">
        <w:trPr>
          <w:tblCellSpacing w:w="15" w:type="dxa"/>
        </w:trPr>
        <w:tc>
          <w:tcPr>
            <w:tcW w:w="0" w:type="auto"/>
            <w:vAlign w:val="center"/>
            <w:hideMark/>
          </w:tcPr>
          <w:p w14:paraId="0B5DE8B5"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Underlying Asset</w:t>
            </w:r>
          </w:p>
        </w:tc>
        <w:tc>
          <w:tcPr>
            <w:tcW w:w="0" w:type="auto"/>
            <w:vAlign w:val="center"/>
            <w:hideMark/>
          </w:tcPr>
          <w:p w14:paraId="2CB514F0"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the asset, index, rate, currency pair, commodity, or benchmark from which a derivative instrument derives its value.</w:t>
            </w:r>
          </w:p>
        </w:tc>
      </w:tr>
      <w:tr w:rsidR="00C111F3" w:rsidRPr="00C111F3" w14:paraId="5E3D9BDE" w14:textId="77777777">
        <w:trPr>
          <w:tblCellSpacing w:w="15" w:type="dxa"/>
        </w:trPr>
        <w:tc>
          <w:tcPr>
            <w:tcW w:w="0" w:type="auto"/>
            <w:vAlign w:val="center"/>
            <w:hideMark/>
          </w:tcPr>
          <w:p w14:paraId="6E0BBE61"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Derivative Instrument</w:t>
            </w:r>
          </w:p>
        </w:tc>
        <w:tc>
          <w:tcPr>
            <w:tcW w:w="0" w:type="auto"/>
            <w:vAlign w:val="center"/>
            <w:hideMark/>
          </w:tcPr>
          <w:p w14:paraId="53938AB8"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Represents derivative contracts such as options, </w:t>
            </w:r>
            <w:proofErr w:type="gramStart"/>
            <w:r w:rsidRPr="00C111F3">
              <w:rPr>
                <w:rFonts w:eastAsia="Times New Roman" w:cs="Times New Roman"/>
                <w:kern w:val="0"/>
                <w:szCs w:val="24"/>
                <w14:ligatures w14:val="none"/>
              </w:rPr>
              <w:t>swaps, swaptions</w:t>
            </w:r>
            <w:proofErr w:type="gramEnd"/>
            <w:r w:rsidRPr="00C111F3">
              <w:rPr>
                <w:rFonts w:eastAsia="Times New Roman" w:cs="Times New Roman"/>
                <w:kern w:val="0"/>
                <w:szCs w:val="24"/>
                <w14:ligatures w14:val="none"/>
              </w:rPr>
              <w:t>, forwards, futures, FX contracts, and commodity derivatives.</w:t>
            </w:r>
          </w:p>
        </w:tc>
      </w:tr>
      <w:tr w:rsidR="00C111F3" w:rsidRPr="00C111F3" w14:paraId="578DE0C7" w14:textId="77777777">
        <w:trPr>
          <w:tblCellSpacing w:w="15" w:type="dxa"/>
        </w:trPr>
        <w:tc>
          <w:tcPr>
            <w:tcW w:w="0" w:type="auto"/>
            <w:vAlign w:val="center"/>
            <w:hideMark/>
          </w:tcPr>
          <w:p w14:paraId="7C918A7B"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Instrument Attribute</w:t>
            </w:r>
          </w:p>
        </w:tc>
        <w:tc>
          <w:tcPr>
            <w:tcW w:w="0" w:type="auto"/>
            <w:vAlign w:val="center"/>
            <w:hideMark/>
          </w:tcPr>
          <w:p w14:paraId="767A9408"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Stores flexible descriptive details for instruments when different derivative types require different attributes.</w:t>
            </w:r>
          </w:p>
        </w:tc>
      </w:tr>
      <w:tr w:rsidR="00C111F3" w:rsidRPr="00C111F3" w14:paraId="0885FC9E" w14:textId="77777777">
        <w:trPr>
          <w:tblCellSpacing w:w="15" w:type="dxa"/>
        </w:trPr>
        <w:tc>
          <w:tcPr>
            <w:tcW w:w="0" w:type="auto"/>
            <w:vAlign w:val="center"/>
            <w:hideMark/>
          </w:tcPr>
          <w:p w14:paraId="78F52574"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Trade Order</w:t>
            </w:r>
          </w:p>
        </w:tc>
        <w:tc>
          <w:tcPr>
            <w:tcW w:w="0" w:type="auto"/>
            <w:vAlign w:val="center"/>
            <w:hideMark/>
          </w:tcPr>
          <w:p w14:paraId="6FAADA4F"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an order to buy or sell a derivative or related financial instrument before execution.</w:t>
            </w:r>
          </w:p>
        </w:tc>
      </w:tr>
      <w:tr w:rsidR="00C111F3" w:rsidRPr="00C111F3" w14:paraId="3387E8C0" w14:textId="77777777">
        <w:trPr>
          <w:tblCellSpacing w:w="15" w:type="dxa"/>
        </w:trPr>
        <w:tc>
          <w:tcPr>
            <w:tcW w:w="0" w:type="auto"/>
            <w:vAlign w:val="center"/>
            <w:hideMark/>
          </w:tcPr>
          <w:p w14:paraId="1738ECE1"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Execution</w:t>
            </w:r>
          </w:p>
        </w:tc>
        <w:tc>
          <w:tcPr>
            <w:tcW w:w="0" w:type="auto"/>
            <w:vAlign w:val="center"/>
            <w:hideMark/>
          </w:tcPr>
          <w:p w14:paraId="7DE41F0B"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the actual execution event where an order is filled partially or completely.</w:t>
            </w:r>
          </w:p>
        </w:tc>
      </w:tr>
      <w:tr w:rsidR="00C111F3" w:rsidRPr="00C111F3" w14:paraId="798A2A44" w14:textId="77777777">
        <w:trPr>
          <w:tblCellSpacing w:w="15" w:type="dxa"/>
        </w:trPr>
        <w:tc>
          <w:tcPr>
            <w:tcW w:w="0" w:type="auto"/>
            <w:vAlign w:val="center"/>
            <w:hideMark/>
          </w:tcPr>
          <w:p w14:paraId="7FF8DC0C"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Trade</w:t>
            </w:r>
          </w:p>
        </w:tc>
        <w:tc>
          <w:tcPr>
            <w:tcW w:w="0" w:type="auto"/>
            <w:vAlign w:val="center"/>
            <w:hideMark/>
          </w:tcPr>
          <w:p w14:paraId="091EB172"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the booked financial transaction resulting from an execution, including account, instrument, counterparty, price, quantity, and settlement details.</w:t>
            </w:r>
          </w:p>
        </w:tc>
      </w:tr>
      <w:tr w:rsidR="00C111F3" w:rsidRPr="00C111F3" w14:paraId="5300BFF2" w14:textId="77777777">
        <w:trPr>
          <w:tblCellSpacing w:w="15" w:type="dxa"/>
        </w:trPr>
        <w:tc>
          <w:tcPr>
            <w:tcW w:w="0" w:type="auto"/>
            <w:vAlign w:val="center"/>
            <w:hideMark/>
          </w:tcPr>
          <w:p w14:paraId="44847A53"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Allocation</w:t>
            </w:r>
          </w:p>
        </w:tc>
        <w:tc>
          <w:tcPr>
            <w:tcW w:w="0" w:type="auto"/>
            <w:vAlign w:val="center"/>
            <w:hideMark/>
          </w:tcPr>
          <w:p w14:paraId="2955934D"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the assignment of executed trade quantity to one or more customer accounts, funds, books, or portfolios.</w:t>
            </w:r>
          </w:p>
        </w:tc>
      </w:tr>
      <w:tr w:rsidR="00C111F3" w:rsidRPr="00C111F3" w14:paraId="1EDA4444" w14:textId="77777777">
        <w:trPr>
          <w:tblCellSpacing w:w="15" w:type="dxa"/>
        </w:trPr>
        <w:tc>
          <w:tcPr>
            <w:tcW w:w="0" w:type="auto"/>
            <w:vAlign w:val="center"/>
            <w:hideMark/>
          </w:tcPr>
          <w:p w14:paraId="5ED091FC"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Trade Confirmation</w:t>
            </w:r>
          </w:p>
        </w:tc>
        <w:tc>
          <w:tcPr>
            <w:tcW w:w="0" w:type="auto"/>
            <w:vAlign w:val="center"/>
            <w:hideMark/>
          </w:tcPr>
          <w:p w14:paraId="027D600B"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Records confirmation activity showing whether a trade has been acknowledged and accepted by the appropriate parties.</w:t>
            </w:r>
          </w:p>
        </w:tc>
      </w:tr>
      <w:tr w:rsidR="00C111F3" w:rsidRPr="00C111F3" w14:paraId="56717875" w14:textId="77777777">
        <w:trPr>
          <w:tblCellSpacing w:w="15" w:type="dxa"/>
        </w:trPr>
        <w:tc>
          <w:tcPr>
            <w:tcW w:w="0" w:type="auto"/>
            <w:vAlign w:val="center"/>
            <w:hideMark/>
          </w:tcPr>
          <w:p w14:paraId="36799602"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Trade Amendment</w:t>
            </w:r>
          </w:p>
        </w:tc>
        <w:tc>
          <w:tcPr>
            <w:tcW w:w="0" w:type="auto"/>
            <w:vAlign w:val="center"/>
            <w:hideMark/>
          </w:tcPr>
          <w:p w14:paraId="717CA922"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Stores changes </w:t>
            </w:r>
            <w:proofErr w:type="gramStart"/>
            <w:r w:rsidRPr="00C111F3">
              <w:rPr>
                <w:rFonts w:eastAsia="Times New Roman" w:cs="Times New Roman"/>
                <w:kern w:val="0"/>
                <w:szCs w:val="24"/>
                <w14:ligatures w14:val="none"/>
              </w:rPr>
              <w:t>made</w:t>
            </w:r>
            <w:proofErr w:type="gramEnd"/>
            <w:r w:rsidRPr="00C111F3">
              <w:rPr>
                <w:rFonts w:eastAsia="Times New Roman" w:cs="Times New Roman"/>
                <w:kern w:val="0"/>
                <w:szCs w:val="24"/>
                <w14:ligatures w14:val="none"/>
              </w:rPr>
              <w:t xml:space="preserve"> to booked trades, including corrected values, reasons, and audit details.</w:t>
            </w:r>
          </w:p>
        </w:tc>
      </w:tr>
      <w:tr w:rsidR="00C111F3" w:rsidRPr="00C111F3" w14:paraId="6286BB79" w14:textId="77777777">
        <w:trPr>
          <w:tblCellSpacing w:w="15" w:type="dxa"/>
        </w:trPr>
        <w:tc>
          <w:tcPr>
            <w:tcW w:w="0" w:type="auto"/>
            <w:vAlign w:val="center"/>
            <w:hideMark/>
          </w:tcPr>
          <w:p w14:paraId="5A270B20"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Trade Cancellation</w:t>
            </w:r>
          </w:p>
        </w:tc>
        <w:tc>
          <w:tcPr>
            <w:tcW w:w="0" w:type="auto"/>
            <w:vAlign w:val="center"/>
            <w:hideMark/>
          </w:tcPr>
          <w:p w14:paraId="26E2B6AC" w14:textId="446508F6"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Records </w:t>
            </w:r>
            <w:r w:rsidR="00F5022D">
              <w:rPr>
                <w:rFonts w:eastAsia="Times New Roman" w:cs="Times New Roman"/>
                <w:kern w:val="0"/>
                <w:szCs w:val="24"/>
                <w14:ligatures w14:val="none"/>
              </w:rPr>
              <w:t>canceled trades and their reasons</w:t>
            </w:r>
            <w:r w:rsidRPr="00C111F3">
              <w:rPr>
                <w:rFonts w:eastAsia="Times New Roman" w:cs="Times New Roman"/>
                <w:kern w:val="0"/>
                <w:szCs w:val="24"/>
                <w14:ligatures w14:val="none"/>
              </w:rPr>
              <w:t xml:space="preserve"> for cancellation.</w:t>
            </w:r>
          </w:p>
        </w:tc>
      </w:tr>
      <w:tr w:rsidR="00C111F3" w:rsidRPr="00C111F3" w14:paraId="4C94E384" w14:textId="77777777">
        <w:trPr>
          <w:tblCellSpacing w:w="15" w:type="dxa"/>
        </w:trPr>
        <w:tc>
          <w:tcPr>
            <w:tcW w:w="0" w:type="auto"/>
            <w:vAlign w:val="center"/>
            <w:hideMark/>
          </w:tcPr>
          <w:p w14:paraId="65D30CBD"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Portfolio</w:t>
            </w:r>
          </w:p>
        </w:tc>
        <w:tc>
          <w:tcPr>
            <w:tcW w:w="0" w:type="auto"/>
            <w:vAlign w:val="center"/>
            <w:hideMark/>
          </w:tcPr>
          <w:p w14:paraId="6C9C8B32"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a trading book, fund, strategy, desk, or account grouping used to organize trades and positions.</w:t>
            </w:r>
          </w:p>
        </w:tc>
      </w:tr>
      <w:tr w:rsidR="00C111F3" w:rsidRPr="00C111F3" w14:paraId="62365C43" w14:textId="77777777">
        <w:trPr>
          <w:tblCellSpacing w:w="15" w:type="dxa"/>
        </w:trPr>
        <w:tc>
          <w:tcPr>
            <w:tcW w:w="0" w:type="auto"/>
            <w:vAlign w:val="center"/>
            <w:hideMark/>
          </w:tcPr>
          <w:p w14:paraId="06E91D97"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Position</w:t>
            </w:r>
          </w:p>
        </w:tc>
        <w:tc>
          <w:tcPr>
            <w:tcW w:w="0" w:type="auto"/>
            <w:vAlign w:val="center"/>
            <w:hideMark/>
          </w:tcPr>
          <w:p w14:paraId="3820ED24"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Represents current holdings or exposure </w:t>
            </w:r>
            <w:proofErr w:type="gramStart"/>
            <w:r w:rsidRPr="00C111F3">
              <w:rPr>
                <w:rFonts w:eastAsia="Times New Roman" w:cs="Times New Roman"/>
                <w:kern w:val="0"/>
                <w:szCs w:val="24"/>
                <w14:ligatures w14:val="none"/>
              </w:rPr>
              <w:t>for</w:t>
            </w:r>
            <w:proofErr w:type="gramEnd"/>
            <w:r w:rsidRPr="00C111F3">
              <w:rPr>
                <w:rFonts w:eastAsia="Times New Roman" w:cs="Times New Roman"/>
                <w:kern w:val="0"/>
                <w:szCs w:val="24"/>
                <w14:ligatures w14:val="none"/>
              </w:rPr>
              <w:t xml:space="preserve"> an instrument within a portfolio.</w:t>
            </w:r>
          </w:p>
        </w:tc>
      </w:tr>
      <w:tr w:rsidR="00C111F3" w:rsidRPr="00C111F3" w14:paraId="6FE7B6F3" w14:textId="77777777">
        <w:trPr>
          <w:tblCellSpacing w:w="15" w:type="dxa"/>
        </w:trPr>
        <w:tc>
          <w:tcPr>
            <w:tcW w:w="0" w:type="auto"/>
            <w:vAlign w:val="center"/>
            <w:hideMark/>
          </w:tcPr>
          <w:p w14:paraId="5A7E5C8A"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Position History</w:t>
            </w:r>
          </w:p>
        </w:tc>
        <w:tc>
          <w:tcPr>
            <w:tcW w:w="0" w:type="auto"/>
            <w:vAlign w:val="center"/>
            <w:hideMark/>
          </w:tcPr>
          <w:p w14:paraId="3CB1110B"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Stores historical snapshots of positions for audit, trend analysis, and exposure reporting.</w:t>
            </w:r>
          </w:p>
        </w:tc>
      </w:tr>
      <w:tr w:rsidR="00C111F3" w:rsidRPr="00C111F3" w14:paraId="3E5DF706" w14:textId="77777777">
        <w:trPr>
          <w:tblCellSpacing w:w="15" w:type="dxa"/>
        </w:trPr>
        <w:tc>
          <w:tcPr>
            <w:tcW w:w="0" w:type="auto"/>
            <w:vAlign w:val="center"/>
            <w:hideMark/>
          </w:tcPr>
          <w:p w14:paraId="27626DF5"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Market Data Source</w:t>
            </w:r>
          </w:p>
        </w:tc>
        <w:tc>
          <w:tcPr>
            <w:tcW w:w="0" w:type="auto"/>
            <w:vAlign w:val="center"/>
            <w:hideMark/>
          </w:tcPr>
          <w:p w14:paraId="06211637"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Identifies internal or external providers of prices, rates, volatility, curves, and other market data.</w:t>
            </w:r>
          </w:p>
        </w:tc>
      </w:tr>
      <w:tr w:rsidR="00C111F3" w:rsidRPr="00C111F3" w14:paraId="17A0F55E" w14:textId="77777777">
        <w:trPr>
          <w:tblCellSpacing w:w="15" w:type="dxa"/>
        </w:trPr>
        <w:tc>
          <w:tcPr>
            <w:tcW w:w="0" w:type="auto"/>
            <w:vAlign w:val="center"/>
            <w:hideMark/>
          </w:tcPr>
          <w:p w14:paraId="35DA801D"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Market Data</w:t>
            </w:r>
          </w:p>
        </w:tc>
        <w:tc>
          <w:tcPr>
            <w:tcW w:w="0" w:type="auto"/>
            <w:vAlign w:val="center"/>
            <w:hideMark/>
          </w:tcPr>
          <w:p w14:paraId="1A71B7B2"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Stores market prices, rates, yields, volatility values, and other valuation inputs used for pricing and risk calculations.</w:t>
            </w:r>
          </w:p>
        </w:tc>
      </w:tr>
      <w:tr w:rsidR="00C111F3" w:rsidRPr="00C111F3" w14:paraId="48874A45" w14:textId="77777777">
        <w:trPr>
          <w:tblCellSpacing w:w="15" w:type="dxa"/>
        </w:trPr>
        <w:tc>
          <w:tcPr>
            <w:tcW w:w="0" w:type="auto"/>
            <w:vAlign w:val="center"/>
            <w:hideMark/>
          </w:tcPr>
          <w:p w14:paraId="14F1D87D"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Market Data History</w:t>
            </w:r>
          </w:p>
        </w:tc>
        <w:tc>
          <w:tcPr>
            <w:tcW w:w="0" w:type="auto"/>
            <w:vAlign w:val="center"/>
            <w:hideMark/>
          </w:tcPr>
          <w:p w14:paraId="1D0AF5E0"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Maintains historical versions or effective periods of market data values.</w:t>
            </w:r>
          </w:p>
        </w:tc>
      </w:tr>
      <w:tr w:rsidR="00C111F3" w:rsidRPr="00C111F3" w14:paraId="7CA864D1" w14:textId="77777777">
        <w:trPr>
          <w:tblCellSpacing w:w="15" w:type="dxa"/>
        </w:trPr>
        <w:tc>
          <w:tcPr>
            <w:tcW w:w="0" w:type="auto"/>
            <w:vAlign w:val="center"/>
            <w:hideMark/>
          </w:tcPr>
          <w:p w14:paraId="0939263E"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lastRenderedPageBreak/>
              <w:t>Risk Scenario</w:t>
            </w:r>
          </w:p>
        </w:tc>
        <w:tc>
          <w:tcPr>
            <w:tcW w:w="0" w:type="auto"/>
            <w:vAlign w:val="center"/>
            <w:hideMark/>
          </w:tcPr>
          <w:p w14:paraId="707CBE96"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Defines base-case, stress, shock, or hypothetical scenarios used for risk analysis.</w:t>
            </w:r>
          </w:p>
        </w:tc>
      </w:tr>
      <w:tr w:rsidR="00C111F3" w:rsidRPr="00C111F3" w14:paraId="781D8D68" w14:textId="77777777">
        <w:trPr>
          <w:tblCellSpacing w:w="15" w:type="dxa"/>
        </w:trPr>
        <w:tc>
          <w:tcPr>
            <w:tcW w:w="0" w:type="auto"/>
            <w:vAlign w:val="center"/>
            <w:hideMark/>
          </w:tcPr>
          <w:p w14:paraId="6330AE85"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Risk Metric</w:t>
            </w:r>
          </w:p>
        </w:tc>
        <w:tc>
          <w:tcPr>
            <w:tcW w:w="0" w:type="auto"/>
            <w:vAlign w:val="center"/>
            <w:hideMark/>
          </w:tcPr>
          <w:p w14:paraId="5DA40340"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Stores calculated risk measures such as delta, gamma, theta, </w:t>
            </w:r>
            <w:proofErr w:type="spellStart"/>
            <w:r w:rsidRPr="00C111F3">
              <w:rPr>
                <w:rFonts w:eastAsia="Times New Roman" w:cs="Times New Roman"/>
                <w:kern w:val="0"/>
                <w:szCs w:val="24"/>
                <w14:ligatures w14:val="none"/>
              </w:rPr>
              <w:t>vega</w:t>
            </w:r>
            <w:proofErr w:type="spellEnd"/>
            <w:r w:rsidRPr="00C111F3">
              <w:rPr>
                <w:rFonts w:eastAsia="Times New Roman" w:cs="Times New Roman"/>
                <w:kern w:val="0"/>
                <w:szCs w:val="24"/>
                <w14:ligatures w14:val="none"/>
              </w:rPr>
              <w:t>, rho, duration, exposure, and sensitivity values.</w:t>
            </w:r>
          </w:p>
        </w:tc>
      </w:tr>
      <w:tr w:rsidR="00C111F3" w:rsidRPr="00C111F3" w14:paraId="6A34FA50" w14:textId="77777777">
        <w:trPr>
          <w:tblCellSpacing w:w="15" w:type="dxa"/>
        </w:trPr>
        <w:tc>
          <w:tcPr>
            <w:tcW w:w="0" w:type="auto"/>
            <w:vAlign w:val="center"/>
            <w:hideMark/>
          </w:tcPr>
          <w:p w14:paraId="20C6C2D9"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Risk Result</w:t>
            </w:r>
          </w:p>
        </w:tc>
        <w:tc>
          <w:tcPr>
            <w:tcW w:w="0" w:type="auto"/>
            <w:vAlign w:val="center"/>
            <w:hideMark/>
          </w:tcPr>
          <w:p w14:paraId="042DC040" w14:textId="5789DCEF"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Stores scenario-based risk calculation results, including </w:t>
            </w:r>
            <w:r w:rsidR="00F5022D">
              <w:rPr>
                <w:rFonts w:eastAsia="Times New Roman" w:cs="Times New Roman"/>
                <w:kern w:val="0"/>
                <w:szCs w:val="24"/>
                <w14:ligatures w14:val="none"/>
              </w:rPr>
              <w:t>profit-and-loss</w:t>
            </w:r>
            <w:r w:rsidRPr="00C111F3">
              <w:rPr>
                <w:rFonts w:eastAsia="Times New Roman" w:cs="Times New Roman"/>
                <w:kern w:val="0"/>
                <w:szCs w:val="24"/>
                <w14:ligatures w14:val="none"/>
              </w:rPr>
              <w:t xml:space="preserve"> impact under defined assumptions.</w:t>
            </w:r>
          </w:p>
        </w:tc>
      </w:tr>
      <w:tr w:rsidR="00C111F3" w:rsidRPr="00C111F3" w14:paraId="169D24D4" w14:textId="77777777">
        <w:trPr>
          <w:tblCellSpacing w:w="15" w:type="dxa"/>
        </w:trPr>
        <w:tc>
          <w:tcPr>
            <w:tcW w:w="0" w:type="auto"/>
            <w:vAlign w:val="center"/>
            <w:hideMark/>
          </w:tcPr>
          <w:p w14:paraId="0D73CF91"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Settlement Instruction</w:t>
            </w:r>
          </w:p>
        </w:tc>
        <w:tc>
          <w:tcPr>
            <w:tcW w:w="0" w:type="auto"/>
            <w:vAlign w:val="center"/>
            <w:hideMark/>
          </w:tcPr>
          <w:p w14:paraId="2EEEB4DC"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Defines how a trade should be settled, including settlement type, date, status, and operational instructions.</w:t>
            </w:r>
          </w:p>
        </w:tc>
      </w:tr>
      <w:tr w:rsidR="00C111F3" w:rsidRPr="00C111F3" w14:paraId="2399D296" w14:textId="77777777">
        <w:trPr>
          <w:tblCellSpacing w:w="15" w:type="dxa"/>
        </w:trPr>
        <w:tc>
          <w:tcPr>
            <w:tcW w:w="0" w:type="auto"/>
            <w:vAlign w:val="center"/>
            <w:hideMark/>
          </w:tcPr>
          <w:p w14:paraId="259AA8BE"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Settlement Transaction</w:t>
            </w:r>
          </w:p>
        </w:tc>
        <w:tc>
          <w:tcPr>
            <w:tcW w:w="0" w:type="auto"/>
            <w:vAlign w:val="center"/>
            <w:hideMark/>
          </w:tcPr>
          <w:p w14:paraId="39483EB1"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the actual settlement amount, currency, account, and status associated with a settlement instruction.</w:t>
            </w:r>
          </w:p>
        </w:tc>
      </w:tr>
      <w:tr w:rsidR="00C111F3" w:rsidRPr="00C111F3" w14:paraId="46D91562" w14:textId="77777777">
        <w:trPr>
          <w:tblCellSpacing w:w="15" w:type="dxa"/>
        </w:trPr>
        <w:tc>
          <w:tcPr>
            <w:tcW w:w="0" w:type="auto"/>
            <w:vAlign w:val="center"/>
            <w:hideMark/>
          </w:tcPr>
          <w:p w14:paraId="5F308681"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Cash Movement</w:t>
            </w:r>
          </w:p>
        </w:tc>
        <w:tc>
          <w:tcPr>
            <w:tcW w:w="0" w:type="auto"/>
            <w:vAlign w:val="center"/>
            <w:hideMark/>
          </w:tcPr>
          <w:p w14:paraId="63A4DDAD"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Records cash debits, credits, funding activity, trade settlement cash flows, fees, and margin cash activity.</w:t>
            </w:r>
          </w:p>
        </w:tc>
      </w:tr>
      <w:tr w:rsidR="00C111F3" w:rsidRPr="00C111F3" w14:paraId="7563D972" w14:textId="77777777">
        <w:trPr>
          <w:tblCellSpacing w:w="15" w:type="dxa"/>
        </w:trPr>
        <w:tc>
          <w:tcPr>
            <w:tcW w:w="0" w:type="auto"/>
            <w:vAlign w:val="center"/>
            <w:hideMark/>
          </w:tcPr>
          <w:p w14:paraId="11161AC9"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Margin Account</w:t>
            </w:r>
          </w:p>
        </w:tc>
        <w:tc>
          <w:tcPr>
            <w:tcW w:w="0" w:type="auto"/>
            <w:vAlign w:val="center"/>
            <w:hideMark/>
          </w:tcPr>
          <w:p w14:paraId="180E3DC1"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accounts used to hold initial margin, variation margin, or collateral balances.</w:t>
            </w:r>
          </w:p>
        </w:tc>
      </w:tr>
      <w:tr w:rsidR="00C111F3" w:rsidRPr="00C111F3" w14:paraId="64607C0A" w14:textId="77777777">
        <w:trPr>
          <w:tblCellSpacing w:w="15" w:type="dxa"/>
        </w:trPr>
        <w:tc>
          <w:tcPr>
            <w:tcW w:w="0" w:type="auto"/>
            <w:vAlign w:val="center"/>
            <w:hideMark/>
          </w:tcPr>
          <w:p w14:paraId="1299DD6F"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Collateral</w:t>
            </w:r>
          </w:p>
        </w:tc>
        <w:tc>
          <w:tcPr>
            <w:tcW w:w="0" w:type="auto"/>
            <w:vAlign w:val="center"/>
            <w:hideMark/>
          </w:tcPr>
          <w:p w14:paraId="33D097E8"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assets pledged to support trading exposure, margin requirements, or counterparty obligations.</w:t>
            </w:r>
          </w:p>
        </w:tc>
      </w:tr>
      <w:tr w:rsidR="00C111F3" w:rsidRPr="00C111F3" w14:paraId="73DD091C" w14:textId="77777777">
        <w:trPr>
          <w:tblCellSpacing w:w="15" w:type="dxa"/>
        </w:trPr>
        <w:tc>
          <w:tcPr>
            <w:tcW w:w="0" w:type="auto"/>
            <w:vAlign w:val="center"/>
            <w:hideMark/>
          </w:tcPr>
          <w:p w14:paraId="648386E3"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Regulation</w:t>
            </w:r>
          </w:p>
        </w:tc>
        <w:tc>
          <w:tcPr>
            <w:tcW w:w="0" w:type="auto"/>
            <w:vAlign w:val="center"/>
            <w:hideMark/>
          </w:tcPr>
          <w:p w14:paraId="24DAAAF4"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Stores regulatory frameworks, jurisdictions, effective dates, and compliance requirements applicable to trading activity.</w:t>
            </w:r>
          </w:p>
        </w:tc>
      </w:tr>
      <w:tr w:rsidR="00C111F3" w:rsidRPr="00C111F3" w14:paraId="3CF2120A" w14:textId="77777777">
        <w:trPr>
          <w:tblCellSpacing w:w="15" w:type="dxa"/>
        </w:trPr>
        <w:tc>
          <w:tcPr>
            <w:tcW w:w="0" w:type="auto"/>
            <w:vAlign w:val="center"/>
            <w:hideMark/>
          </w:tcPr>
          <w:p w14:paraId="01B37967"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Reporting Obligation</w:t>
            </w:r>
          </w:p>
        </w:tc>
        <w:tc>
          <w:tcPr>
            <w:tcW w:w="0" w:type="auto"/>
            <w:vAlign w:val="center"/>
            <w:hideMark/>
          </w:tcPr>
          <w:p w14:paraId="5D450C34"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specific reports required under regulatory rules, including reporting frequency and due timing.</w:t>
            </w:r>
          </w:p>
        </w:tc>
      </w:tr>
      <w:tr w:rsidR="00C111F3" w:rsidRPr="00C111F3" w14:paraId="2DE7B287" w14:textId="77777777">
        <w:trPr>
          <w:tblCellSpacing w:w="15" w:type="dxa"/>
        </w:trPr>
        <w:tc>
          <w:tcPr>
            <w:tcW w:w="0" w:type="auto"/>
            <w:vAlign w:val="center"/>
            <w:hideMark/>
          </w:tcPr>
          <w:p w14:paraId="2DAAF0BC"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Trade Surveillance Alert</w:t>
            </w:r>
          </w:p>
        </w:tc>
        <w:tc>
          <w:tcPr>
            <w:tcW w:w="0" w:type="auto"/>
            <w:vAlign w:val="center"/>
            <w:hideMark/>
          </w:tcPr>
          <w:p w14:paraId="11E233BE"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Stores compliance alerts generated from trade monitoring, unusual activity, large trades, or rule violations.</w:t>
            </w:r>
          </w:p>
        </w:tc>
      </w:tr>
      <w:tr w:rsidR="00C111F3" w:rsidRPr="00C111F3" w14:paraId="078FAA78" w14:textId="77777777">
        <w:trPr>
          <w:tblCellSpacing w:w="15" w:type="dxa"/>
        </w:trPr>
        <w:tc>
          <w:tcPr>
            <w:tcW w:w="0" w:type="auto"/>
            <w:vAlign w:val="center"/>
            <w:hideMark/>
          </w:tcPr>
          <w:p w14:paraId="2CB8A8DB"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Audit Log</w:t>
            </w:r>
          </w:p>
        </w:tc>
        <w:tc>
          <w:tcPr>
            <w:tcW w:w="0" w:type="auto"/>
            <w:vAlign w:val="center"/>
            <w:hideMark/>
          </w:tcPr>
          <w:p w14:paraId="43329BCC"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Records user actions, system actions, data changes, approvals, and operational events for auditability.</w:t>
            </w:r>
          </w:p>
        </w:tc>
      </w:tr>
      <w:tr w:rsidR="00C111F3" w:rsidRPr="00C111F3" w14:paraId="6ABDCDBC" w14:textId="77777777">
        <w:trPr>
          <w:tblCellSpacing w:w="15" w:type="dxa"/>
        </w:trPr>
        <w:tc>
          <w:tcPr>
            <w:tcW w:w="0" w:type="auto"/>
            <w:vAlign w:val="center"/>
            <w:hideMark/>
          </w:tcPr>
          <w:p w14:paraId="2D8B6A67"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Role</w:t>
            </w:r>
          </w:p>
        </w:tc>
        <w:tc>
          <w:tcPr>
            <w:tcW w:w="0" w:type="auto"/>
            <w:vAlign w:val="center"/>
            <w:hideMark/>
          </w:tcPr>
          <w:p w14:paraId="587DBCB8"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Defines system roles used to group user responsibilities and access privileges.</w:t>
            </w:r>
          </w:p>
        </w:tc>
      </w:tr>
      <w:tr w:rsidR="00C111F3" w:rsidRPr="00C111F3" w14:paraId="2F2B97FF" w14:textId="77777777">
        <w:trPr>
          <w:tblCellSpacing w:w="15" w:type="dxa"/>
        </w:trPr>
        <w:tc>
          <w:tcPr>
            <w:tcW w:w="0" w:type="auto"/>
            <w:vAlign w:val="center"/>
            <w:hideMark/>
          </w:tcPr>
          <w:p w14:paraId="0E8A9EE9"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App User</w:t>
            </w:r>
          </w:p>
        </w:tc>
        <w:tc>
          <w:tcPr>
            <w:tcW w:w="0" w:type="auto"/>
            <w:vAlign w:val="center"/>
            <w:hideMark/>
          </w:tcPr>
          <w:p w14:paraId="76FEFC8D"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Represents authorized users of the trading database or application.</w:t>
            </w:r>
          </w:p>
        </w:tc>
      </w:tr>
      <w:tr w:rsidR="00C111F3" w:rsidRPr="00C111F3" w14:paraId="2D6096A1" w14:textId="77777777">
        <w:trPr>
          <w:tblCellSpacing w:w="15" w:type="dxa"/>
        </w:trPr>
        <w:tc>
          <w:tcPr>
            <w:tcW w:w="0" w:type="auto"/>
            <w:vAlign w:val="center"/>
            <w:hideMark/>
          </w:tcPr>
          <w:p w14:paraId="3672E555"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Permission</w:t>
            </w:r>
          </w:p>
        </w:tc>
        <w:tc>
          <w:tcPr>
            <w:tcW w:w="0" w:type="auto"/>
            <w:vAlign w:val="center"/>
            <w:hideMark/>
          </w:tcPr>
          <w:p w14:paraId="70D4C398" w14:textId="77777777" w:rsidR="00C111F3" w:rsidRPr="00C111F3" w:rsidRDefault="00C111F3" w:rsidP="00C111F3">
            <w:pPr>
              <w:spacing w:before="0" w:after="0" w:line="240" w:lineRule="auto"/>
              <w:rPr>
                <w:rFonts w:eastAsia="Times New Roman" w:cs="Times New Roman"/>
                <w:kern w:val="0"/>
                <w:szCs w:val="24"/>
                <w14:ligatures w14:val="none"/>
              </w:rPr>
            </w:pPr>
            <w:r w:rsidRPr="00C111F3">
              <w:rPr>
                <w:rFonts w:eastAsia="Times New Roman" w:cs="Times New Roman"/>
                <w:kern w:val="0"/>
                <w:szCs w:val="24"/>
                <w14:ligatures w14:val="none"/>
              </w:rPr>
              <w:t>Defines access rights assigned to roles for specific modules, features, and actions.</w:t>
            </w:r>
          </w:p>
        </w:tc>
      </w:tr>
    </w:tbl>
    <w:p w14:paraId="1DFC7E78" w14:textId="604451FF" w:rsidR="00C111F3" w:rsidRDefault="00C111F3" w:rsidP="00EE7A02">
      <w:pPr>
        <w:pStyle w:val="Subtitle"/>
      </w:pPr>
      <w:r>
        <w:t>Entity Relationship Data Dictionary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02"/>
        <w:gridCol w:w="4226"/>
        <w:gridCol w:w="2448"/>
      </w:tblGrid>
      <w:tr w:rsidR="005819CB" w:rsidRPr="005819CB" w14:paraId="337BC6CD" w14:textId="77777777" w:rsidTr="005819CB">
        <w:trPr>
          <w:tblHeader/>
          <w:tblCellSpacing w:w="15" w:type="dxa"/>
        </w:trPr>
        <w:tc>
          <w:tcPr>
            <w:tcW w:w="0" w:type="auto"/>
            <w:shd w:val="clear" w:color="auto" w:fill="F2F2F2" w:themeFill="background1" w:themeFillShade="F2"/>
            <w:vAlign w:val="center"/>
            <w:hideMark/>
          </w:tcPr>
          <w:p w14:paraId="4271CA31" w14:textId="77777777" w:rsidR="005819CB" w:rsidRPr="005819CB" w:rsidRDefault="005819CB" w:rsidP="005819CB">
            <w:pPr>
              <w:spacing w:before="0" w:after="0" w:line="240" w:lineRule="auto"/>
              <w:jc w:val="center"/>
              <w:rPr>
                <w:rFonts w:eastAsia="Times New Roman" w:cs="Times New Roman"/>
                <w:b/>
                <w:bCs/>
                <w:kern w:val="0"/>
                <w:szCs w:val="24"/>
                <w14:ligatures w14:val="none"/>
              </w:rPr>
            </w:pPr>
            <w:r w:rsidRPr="005819CB">
              <w:rPr>
                <w:rFonts w:eastAsia="Times New Roman" w:cs="Times New Roman"/>
                <w:b/>
                <w:bCs/>
                <w:kern w:val="0"/>
                <w:szCs w:val="24"/>
                <w14:ligatures w14:val="none"/>
              </w:rPr>
              <w:t>Parent Entity</w:t>
            </w:r>
          </w:p>
        </w:tc>
        <w:tc>
          <w:tcPr>
            <w:tcW w:w="0" w:type="auto"/>
            <w:shd w:val="clear" w:color="auto" w:fill="F2F2F2" w:themeFill="background1" w:themeFillShade="F2"/>
            <w:vAlign w:val="center"/>
            <w:hideMark/>
          </w:tcPr>
          <w:p w14:paraId="22669A63" w14:textId="77777777" w:rsidR="005819CB" w:rsidRPr="005819CB" w:rsidRDefault="005819CB" w:rsidP="005819CB">
            <w:pPr>
              <w:spacing w:before="0" w:after="0" w:line="240" w:lineRule="auto"/>
              <w:jc w:val="center"/>
              <w:rPr>
                <w:rFonts w:eastAsia="Times New Roman" w:cs="Times New Roman"/>
                <w:b/>
                <w:bCs/>
                <w:kern w:val="0"/>
                <w:szCs w:val="24"/>
                <w14:ligatures w14:val="none"/>
              </w:rPr>
            </w:pPr>
            <w:r w:rsidRPr="005819CB">
              <w:rPr>
                <w:rFonts w:eastAsia="Times New Roman" w:cs="Times New Roman"/>
                <w:b/>
                <w:bCs/>
                <w:kern w:val="0"/>
                <w:szCs w:val="24"/>
                <w14:ligatures w14:val="none"/>
              </w:rPr>
              <w:t>Association Verb Phrase</w:t>
            </w:r>
          </w:p>
        </w:tc>
        <w:tc>
          <w:tcPr>
            <w:tcW w:w="0" w:type="auto"/>
            <w:shd w:val="clear" w:color="auto" w:fill="F2F2F2" w:themeFill="background1" w:themeFillShade="F2"/>
            <w:vAlign w:val="center"/>
            <w:hideMark/>
          </w:tcPr>
          <w:p w14:paraId="553D809C" w14:textId="77777777" w:rsidR="005819CB" w:rsidRPr="005819CB" w:rsidRDefault="005819CB" w:rsidP="005819CB">
            <w:pPr>
              <w:spacing w:before="0" w:after="0" w:line="240" w:lineRule="auto"/>
              <w:jc w:val="center"/>
              <w:rPr>
                <w:rFonts w:eastAsia="Times New Roman" w:cs="Times New Roman"/>
                <w:b/>
                <w:bCs/>
                <w:kern w:val="0"/>
                <w:szCs w:val="24"/>
                <w14:ligatures w14:val="none"/>
              </w:rPr>
            </w:pPr>
            <w:r w:rsidRPr="005819CB">
              <w:rPr>
                <w:rFonts w:eastAsia="Times New Roman" w:cs="Times New Roman"/>
                <w:b/>
                <w:bCs/>
                <w:kern w:val="0"/>
                <w:szCs w:val="24"/>
                <w14:ligatures w14:val="none"/>
              </w:rPr>
              <w:t>Child Entity</w:t>
            </w:r>
          </w:p>
        </w:tc>
      </w:tr>
      <w:tr w:rsidR="005819CB" w:rsidRPr="005819CB" w14:paraId="094C412A" w14:textId="77777777">
        <w:trPr>
          <w:tblCellSpacing w:w="15" w:type="dxa"/>
        </w:trPr>
        <w:tc>
          <w:tcPr>
            <w:tcW w:w="0" w:type="auto"/>
            <w:vAlign w:val="center"/>
            <w:hideMark/>
          </w:tcPr>
          <w:p w14:paraId="2E86700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Country</w:t>
            </w:r>
          </w:p>
        </w:tc>
        <w:tc>
          <w:tcPr>
            <w:tcW w:w="0" w:type="auto"/>
            <w:vAlign w:val="center"/>
            <w:hideMark/>
          </w:tcPr>
          <w:p w14:paraId="76858AC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identifies the jurisdiction for</w:t>
            </w:r>
          </w:p>
        </w:tc>
        <w:tc>
          <w:tcPr>
            <w:tcW w:w="0" w:type="auto"/>
            <w:vAlign w:val="center"/>
            <w:hideMark/>
          </w:tcPr>
          <w:p w14:paraId="7C2A9969"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r>
      <w:tr w:rsidR="005819CB" w:rsidRPr="005819CB" w14:paraId="07941FDD" w14:textId="77777777">
        <w:trPr>
          <w:tblCellSpacing w:w="15" w:type="dxa"/>
        </w:trPr>
        <w:tc>
          <w:tcPr>
            <w:tcW w:w="0" w:type="auto"/>
            <w:vAlign w:val="center"/>
            <w:hideMark/>
          </w:tcPr>
          <w:p w14:paraId="4D6CB103"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Country</w:t>
            </w:r>
          </w:p>
        </w:tc>
        <w:tc>
          <w:tcPr>
            <w:tcW w:w="0" w:type="auto"/>
            <w:vAlign w:val="center"/>
            <w:hideMark/>
          </w:tcPr>
          <w:p w14:paraId="5DCFA83D"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identifies the jurisdiction for</w:t>
            </w:r>
          </w:p>
        </w:tc>
        <w:tc>
          <w:tcPr>
            <w:tcW w:w="0" w:type="auto"/>
            <w:vAlign w:val="center"/>
            <w:hideMark/>
          </w:tcPr>
          <w:p w14:paraId="0276187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Exchange</w:t>
            </w:r>
          </w:p>
        </w:tc>
      </w:tr>
      <w:tr w:rsidR="005819CB" w:rsidRPr="005819CB" w14:paraId="27F2E93D" w14:textId="77777777">
        <w:trPr>
          <w:tblCellSpacing w:w="15" w:type="dxa"/>
        </w:trPr>
        <w:tc>
          <w:tcPr>
            <w:tcW w:w="0" w:type="auto"/>
            <w:vAlign w:val="center"/>
            <w:hideMark/>
          </w:tcPr>
          <w:p w14:paraId="589703F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Country</w:t>
            </w:r>
          </w:p>
        </w:tc>
        <w:tc>
          <w:tcPr>
            <w:tcW w:w="0" w:type="auto"/>
            <w:vAlign w:val="center"/>
            <w:hideMark/>
          </w:tcPr>
          <w:p w14:paraId="3480827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identifies the jurisdiction for</w:t>
            </w:r>
          </w:p>
        </w:tc>
        <w:tc>
          <w:tcPr>
            <w:tcW w:w="0" w:type="auto"/>
            <w:vAlign w:val="center"/>
            <w:hideMark/>
          </w:tcPr>
          <w:p w14:paraId="411A45C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Clearing House</w:t>
            </w:r>
          </w:p>
        </w:tc>
      </w:tr>
      <w:tr w:rsidR="005819CB" w:rsidRPr="005819CB" w14:paraId="7BDF3DEF" w14:textId="77777777">
        <w:trPr>
          <w:tblCellSpacing w:w="15" w:type="dxa"/>
        </w:trPr>
        <w:tc>
          <w:tcPr>
            <w:tcW w:w="0" w:type="auto"/>
            <w:vAlign w:val="center"/>
            <w:hideMark/>
          </w:tcPr>
          <w:p w14:paraId="2CEA80C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Country</w:t>
            </w:r>
          </w:p>
        </w:tc>
        <w:tc>
          <w:tcPr>
            <w:tcW w:w="0" w:type="auto"/>
            <w:vAlign w:val="center"/>
            <w:hideMark/>
          </w:tcPr>
          <w:p w14:paraId="3B5A63C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identifies the jurisdiction for</w:t>
            </w:r>
          </w:p>
        </w:tc>
        <w:tc>
          <w:tcPr>
            <w:tcW w:w="0" w:type="auto"/>
            <w:vAlign w:val="center"/>
            <w:hideMark/>
          </w:tcPr>
          <w:p w14:paraId="15B27FD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Legal Entity</w:t>
            </w:r>
          </w:p>
        </w:tc>
      </w:tr>
      <w:tr w:rsidR="005819CB" w:rsidRPr="005819CB" w14:paraId="4F0DAE54" w14:textId="77777777">
        <w:trPr>
          <w:tblCellSpacing w:w="15" w:type="dxa"/>
        </w:trPr>
        <w:tc>
          <w:tcPr>
            <w:tcW w:w="0" w:type="auto"/>
            <w:vAlign w:val="center"/>
            <w:hideMark/>
          </w:tcPr>
          <w:p w14:paraId="3E57EA1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Country</w:t>
            </w:r>
          </w:p>
        </w:tc>
        <w:tc>
          <w:tcPr>
            <w:tcW w:w="0" w:type="auto"/>
            <w:vAlign w:val="center"/>
            <w:hideMark/>
          </w:tcPr>
          <w:p w14:paraId="4DBB6BE9"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identifies the jurisdiction for</w:t>
            </w:r>
          </w:p>
        </w:tc>
        <w:tc>
          <w:tcPr>
            <w:tcW w:w="0" w:type="auto"/>
            <w:vAlign w:val="center"/>
            <w:hideMark/>
          </w:tcPr>
          <w:p w14:paraId="2A27AC6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Broker</w:t>
            </w:r>
          </w:p>
        </w:tc>
      </w:tr>
      <w:tr w:rsidR="005819CB" w:rsidRPr="005819CB" w14:paraId="41EE78AB" w14:textId="77777777">
        <w:trPr>
          <w:tblCellSpacing w:w="15" w:type="dxa"/>
        </w:trPr>
        <w:tc>
          <w:tcPr>
            <w:tcW w:w="0" w:type="auto"/>
            <w:vAlign w:val="center"/>
            <w:hideMark/>
          </w:tcPr>
          <w:p w14:paraId="5AE5AE39"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3859952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used as the default currency for</w:t>
            </w:r>
          </w:p>
        </w:tc>
        <w:tc>
          <w:tcPr>
            <w:tcW w:w="0" w:type="auto"/>
            <w:vAlign w:val="center"/>
            <w:hideMark/>
          </w:tcPr>
          <w:p w14:paraId="5FBBC7D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Clearing House</w:t>
            </w:r>
          </w:p>
        </w:tc>
      </w:tr>
      <w:tr w:rsidR="005819CB" w:rsidRPr="005819CB" w14:paraId="370DB4AB" w14:textId="77777777">
        <w:trPr>
          <w:tblCellSpacing w:w="15" w:type="dxa"/>
        </w:trPr>
        <w:tc>
          <w:tcPr>
            <w:tcW w:w="0" w:type="auto"/>
            <w:vAlign w:val="center"/>
            <w:hideMark/>
          </w:tcPr>
          <w:p w14:paraId="749811B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08ED3C6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used as the base currency for</w:t>
            </w:r>
          </w:p>
        </w:tc>
        <w:tc>
          <w:tcPr>
            <w:tcW w:w="0" w:type="auto"/>
            <w:vAlign w:val="center"/>
            <w:hideMark/>
          </w:tcPr>
          <w:p w14:paraId="1034076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Account</w:t>
            </w:r>
          </w:p>
        </w:tc>
      </w:tr>
      <w:tr w:rsidR="005819CB" w:rsidRPr="005819CB" w14:paraId="202BCCBA" w14:textId="77777777">
        <w:trPr>
          <w:tblCellSpacing w:w="15" w:type="dxa"/>
        </w:trPr>
        <w:tc>
          <w:tcPr>
            <w:tcW w:w="0" w:type="auto"/>
            <w:vAlign w:val="center"/>
            <w:hideMark/>
          </w:tcPr>
          <w:p w14:paraId="23D8D65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lastRenderedPageBreak/>
              <w:t>Currency</w:t>
            </w:r>
          </w:p>
        </w:tc>
        <w:tc>
          <w:tcPr>
            <w:tcW w:w="0" w:type="auto"/>
            <w:vAlign w:val="center"/>
            <w:hideMark/>
          </w:tcPr>
          <w:p w14:paraId="50A2C53B"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used as the trading currency for</w:t>
            </w:r>
          </w:p>
        </w:tc>
        <w:tc>
          <w:tcPr>
            <w:tcW w:w="0" w:type="auto"/>
            <w:vAlign w:val="center"/>
            <w:hideMark/>
          </w:tcPr>
          <w:p w14:paraId="0F75402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r>
      <w:tr w:rsidR="005819CB" w:rsidRPr="005819CB" w14:paraId="2FFA666E" w14:textId="77777777">
        <w:trPr>
          <w:tblCellSpacing w:w="15" w:type="dxa"/>
        </w:trPr>
        <w:tc>
          <w:tcPr>
            <w:tcW w:w="0" w:type="auto"/>
            <w:vAlign w:val="center"/>
            <w:hideMark/>
          </w:tcPr>
          <w:p w14:paraId="4B59AEE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4A97714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used as the pricing currency for</w:t>
            </w:r>
          </w:p>
        </w:tc>
        <w:tc>
          <w:tcPr>
            <w:tcW w:w="0" w:type="auto"/>
            <w:vAlign w:val="center"/>
            <w:hideMark/>
          </w:tcPr>
          <w:p w14:paraId="2EE2058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Underlying Asset</w:t>
            </w:r>
          </w:p>
        </w:tc>
      </w:tr>
      <w:tr w:rsidR="005819CB" w:rsidRPr="005819CB" w14:paraId="1130E39F" w14:textId="77777777">
        <w:trPr>
          <w:tblCellSpacing w:w="15" w:type="dxa"/>
        </w:trPr>
        <w:tc>
          <w:tcPr>
            <w:tcW w:w="0" w:type="auto"/>
            <w:vAlign w:val="center"/>
            <w:hideMark/>
          </w:tcPr>
          <w:p w14:paraId="34385CC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714B4D4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used as the settlement currency for</w:t>
            </w:r>
          </w:p>
        </w:tc>
        <w:tc>
          <w:tcPr>
            <w:tcW w:w="0" w:type="auto"/>
            <w:vAlign w:val="center"/>
            <w:hideMark/>
          </w:tcPr>
          <w:p w14:paraId="70E1601B"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r>
      <w:tr w:rsidR="005819CB" w:rsidRPr="005819CB" w14:paraId="3F084906" w14:textId="77777777">
        <w:trPr>
          <w:tblCellSpacing w:w="15" w:type="dxa"/>
        </w:trPr>
        <w:tc>
          <w:tcPr>
            <w:tcW w:w="0" w:type="auto"/>
            <w:vAlign w:val="center"/>
            <w:hideMark/>
          </w:tcPr>
          <w:p w14:paraId="1B990F53"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59ED9E5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used as the reporting currency for</w:t>
            </w:r>
          </w:p>
        </w:tc>
        <w:tc>
          <w:tcPr>
            <w:tcW w:w="0" w:type="auto"/>
            <w:vAlign w:val="center"/>
            <w:hideMark/>
          </w:tcPr>
          <w:p w14:paraId="0BE082D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Portfolio</w:t>
            </w:r>
          </w:p>
        </w:tc>
      </w:tr>
      <w:tr w:rsidR="005819CB" w:rsidRPr="005819CB" w14:paraId="1167DDE1" w14:textId="77777777">
        <w:trPr>
          <w:tblCellSpacing w:w="15" w:type="dxa"/>
        </w:trPr>
        <w:tc>
          <w:tcPr>
            <w:tcW w:w="0" w:type="auto"/>
            <w:vAlign w:val="center"/>
            <w:hideMark/>
          </w:tcPr>
          <w:p w14:paraId="3BE639A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0A3DB62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used as the valuation currency for</w:t>
            </w:r>
          </w:p>
        </w:tc>
        <w:tc>
          <w:tcPr>
            <w:tcW w:w="0" w:type="auto"/>
            <w:vAlign w:val="center"/>
            <w:hideMark/>
          </w:tcPr>
          <w:p w14:paraId="7C818F6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Market Data</w:t>
            </w:r>
          </w:p>
        </w:tc>
      </w:tr>
      <w:tr w:rsidR="005819CB" w:rsidRPr="005819CB" w14:paraId="1151B582" w14:textId="77777777">
        <w:trPr>
          <w:tblCellSpacing w:w="15" w:type="dxa"/>
        </w:trPr>
        <w:tc>
          <w:tcPr>
            <w:tcW w:w="0" w:type="auto"/>
            <w:vAlign w:val="center"/>
            <w:hideMark/>
          </w:tcPr>
          <w:p w14:paraId="58B7CAB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1DE7CCDB"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used as the movement currency for</w:t>
            </w:r>
          </w:p>
        </w:tc>
        <w:tc>
          <w:tcPr>
            <w:tcW w:w="0" w:type="auto"/>
            <w:vAlign w:val="center"/>
            <w:hideMark/>
          </w:tcPr>
          <w:p w14:paraId="60AABE4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Cash Movement</w:t>
            </w:r>
          </w:p>
        </w:tc>
      </w:tr>
      <w:tr w:rsidR="005819CB" w:rsidRPr="005819CB" w14:paraId="327D93DA" w14:textId="77777777">
        <w:trPr>
          <w:tblCellSpacing w:w="15" w:type="dxa"/>
        </w:trPr>
        <w:tc>
          <w:tcPr>
            <w:tcW w:w="0" w:type="auto"/>
            <w:vAlign w:val="center"/>
            <w:hideMark/>
          </w:tcPr>
          <w:p w14:paraId="06ACF34D"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33FE97DB"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used as the collateral currency for</w:t>
            </w:r>
          </w:p>
        </w:tc>
        <w:tc>
          <w:tcPr>
            <w:tcW w:w="0" w:type="auto"/>
            <w:vAlign w:val="center"/>
            <w:hideMark/>
          </w:tcPr>
          <w:p w14:paraId="49147FF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Collateral</w:t>
            </w:r>
          </w:p>
        </w:tc>
      </w:tr>
      <w:tr w:rsidR="005819CB" w:rsidRPr="005819CB" w14:paraId="0508CF7C" w14:textId="77777777">
        <w:trPr>
          <w:tblCellSpacing w:w="15" w:type="dxa"/>
        </w:trPr>
        <w:tc>
          <w:tcPr>
            <w:tcW w:w="0" w:type="auto"/>
            <w:vAlign w:val="center"/>
            <w:hideMark/>
          </w:tcPr>
          <w:p w14:paraId="169DCE5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3F029A2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converted from in</w:t>
            </w:r>
          </w:p>
        </w:tc>
        <w:tc>
          <w:tcPr>
            <w:tcW w:w="0" w:type="auto"/>
            <w:vAlign w:val="center"/>
            <w:hideMark/>
          </w:tcPr>
          <w:p w14:paraId="61E0B83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Exchange Rate</w:t>
            </w:r>
          </w:p>
        </w:tc>
      </w:tr>
      <w:tr w:rsidR="005819CB" w:rsidRPr="005819CB" w14:paraId="49FBD3AB" w14:textId="77777777">
        <w:trPr>
          <w:tblCellSpacing w:w="15" w:type="dxa"/>
        </w:trPr>
        <w:tc>
          <w:tcPr>
            <w:tcW w:w="0" w:type="auto"/>
            <w:vAlign w:val="center"/>
            <w:hideMark/>
          </w:tcPr>
          <w:p w14:paraId="3E0C7AE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Currency</w:t>
            </w:r>
          </w:p>
        </w:tc>
        <w:tc>
          <w:tcPr>
            <w:tcW w:w="0" w:type="auto"/>
            <w:vAlign w:val="center"/>
            <w:hideMark/>
          </w:tcPr>
          <w:p w14:paraId="7FD4966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converted to in</w:t>
            </w:r>
          </w:p>
        </w:tc>
        <w:tc>
          <w:tcPr>
            <w:tcW w:w="0" w:type="auto"/>
            <w:vAlign w:val="center"/>
            <w:hideMark/>
          </w:tcPr>
          <w:p w14:paraId="199A27F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Exchange Rate</w:t>
            </w:r>
          </w:p>
        </w:tc>
      </w:tr>
      <w:tr w:rsidR="005819CB" w:rsidRPr="005819CB" w14:paraId="32381962" w14:textId="77777777">
        <w:trPr>
          <w:tblCellSpacing w:w="15" w:type="dxa"/>
        </w:trPr>
        <w:tc>
          <w:tcPr>
            <w:tcW w:w="0" w:type="auto"/>
            <w:vAlign w:val="center"/>
            <w:hideMark/>
          </w:tcPr>
          <w:p w14:paraId="5CF43603"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Exchange</w:t>
            </w:r>
          </w:p>
        </w:tc>
        <w:tc>
          <w:tcPr>
            <w:tcW w:w="0" w:type="auto"/>
            <w:vAlign w:val="center"/>
            <w:hideMark/>
          </w:tcPr>
          <w:p w14:paraId="1FC90AB3"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lists or supports trading for</w:t>
            </w:r>
          </w:p>
        </w:tc>
        <w:tc>
          <w:tcPr>
            <w:tcW w:w="0" w:type="auto"/>
            <w:vAlign w:val="center"/>
            <w:hideMark/>
          </w:tcPr>
          <w:p w14:paraId="7EAC474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Underlying Asset</w:t>
            </w:r>
          </w:p>
        </w:tc>
      </w:tr>
      <w:tr w:rsidR="005819CB" w:rsidRPr="005819CB" w14:paraId="18A3EB2F" w14:textId="77777777">
        <w:trPr>
          <w:tblCellSpacing w:w="15" w:type="dxa"/>
        </w:trPr>
        <w:tc>
          <w:tcPr>
            <w:tcW w:w="0" w:type="auto"/>
            <w:vAlign w:val="center"/>
            <w:hideMark/>
          </w:tcPr>
          <w:p w14:paraId="2D32984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Exchange</w:t>
            </w:r>
          </w:p>
        </w:tc>
        <w:tc>
          <w:tcPr>
            <w:tcW w:w="0" w:type="auto"/>
            <w:vAlign w:val="center"/>
            <w:hideMark/>
          </w:tcPr>
          <w:p w14:paraId="0909715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lists or supports trading for</w:t>
            </w:r>
          </w:p>
        </w:tc>
        <w:tc>
          <w:tcPr>
            <w:tcW w:w="0" w:type="auto"/>
            <w:vAlign w:val="center"/>
            <w:hideMark/>
          </w:tcPr>
          <w:p w14:paraId="4A4D759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r>
      <w:tr w:rsidR="005819CB" w:rsidRPr="005819CB" w14:paraId="7476A7FA" w14:textId="77777777">
        <w:trPr>
          <w:tblCellSpacing w:w="15" w:type="dxa"/>
        </w:trPr>
        <w:tc>
          <w:tcPr>
            <w:tcW w:w="0" w:type="auto"/>
            <w:vAlign w:val="center"/>
            <w:hideMark/>
          </w:tcPr>
          <w:p w14:paraId="638223B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Exchange</w:t>
            </w:r>
          </w:p>
        </w:tc>
        <w:tc>
          <w:tcPr>
            <w:tcW w:w="0" w:type="auto"/>
            <w:vAlign w:val="center"/>
            <w:hideMark/>
          </w:tcPr>
          <w:p w14:paraId="12A0314B"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receives executions for</w:t>
            </w:r>
          </w:p>
        </w:tc>
        <w:tc>
          <w:tcPr>
            <w:tcW w:w="0" w:type="auto"/>
            <w:vAlign w:val="center"/>
            <w:hideMark/>
          </w:tcPr>
          <w:p w14:paraId="268FC49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Execution</w:t>
            </w:r>
          </w:p>
        </w:tc>
      </w:tr>
      <w:tr w:rsidR="005819CB" w:rsidRPr="005819CB" w14:paraId="7F86EA8E" w14:textId="77777777">
        <w:trPr>
          <w:tblCellSpacing w:w="15" w:type="dxa"/>
        </w:trPr>
        <w:tc>
          <w:tcPr>
            <w:tcW w:w="0" w:type="auto"/>
            <w:vAlign w:val="center"/>
            <w:hideMark/>
          </w:tcPr>
          <w:p w14:paraId="07172613"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Clearing House</w:t>
            </w:r>
          </w:p>
        </w:tc>
        <w:tc>
          <w:tcPr>
            <w:tcW w:w="0" w:type="auto"/>
            <w:vAlign w:val="center"/>
            <w:hideMark/>
          </w:tcPr>
          <w:p w14:paraId="1E1C4AF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clears and settles</w:t>
            </w:r>
          </w:p>
        </w:tc>
        <w:tc>
          <w:tcPr>
            <w:tcW w:w="0" w:type="auto"/>
            <w:vAlign w:val="center"/>
            <w:hideMark/>
          </w:tcPr>
          <w:p w14:paraId="3E73E78D"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r>
      <w:tr w:rsidR="005819CB" w:rsidRPr="005819CB" w14:paraId="3848BF8E" w14:textId="77777777">
        <w:trPr>
          <w:tblCellSpacing w:w="15" w:type="dxa"/>
        </w:trPr>
        <w:tc>
          <w:tcPr>
            <w:tcW w:w="0" w:type="auto"/>
            <w:vAlign w:val="center"/>
            <w:hideMark/>
          </w:tcPr>
          <w:p w14:paraId="75E13DB9"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Clearing House</w:t>
            </w:r>
          </w:p>
        </w:tc>
        <w:tc>
          <w:tcPr>
            <w:tcW w:w="0" w:type="auto"/>
            <w:vAlign w:val="center"/>
            <w:hideMark/>
          </w:tcPr>
          <w:p w14:paraId="5D09D10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maintains margin support for</w:t>
            </w:r>
          </w:p>
        </w:tc>
        <w:tc>
          <w:tcPr>
            <w:tcW w:w="0" w:type="auto"/>
            <w:vAlign w:val="center"/>
            <w:hideMark/>
          </w:tcPr>
          <w:p w14:paraId="5CA4C5E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Margin Account</w:t>
            </w:r>
          </w:p>
        </w:tc>
      </w:tr>
      <w:tr w:rsidR="005819CB" w:rsidRPr="005819CB" w14:paraId="53E49392" w14:textId="77777777">
        <w:trPr>
          <w:tblCellSpacing w:w="15" w:type="dxa"/>
        </w:trPr>
        <w:tc>
          <w:tcPr>
            <w:tcW w:w="0" w:type="auto"/>
            <w:vAlign w:val="center"/>
            <w:hideMark/>
          </w:tcPr>
          <w:p w14:paraId="59E96A8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Legal Entity</w:t>
            </w:r>
          </w:p>
        </w:tc>
        <w:tc>
          <w:tcPr>
            <w:tcW w:w="0" w:type="auto"/>
            <w:vAlign w:val="center"/>
            <w:hideMark/>
          </w:tcPr>
          <w:p w14:paraId="6AA7880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may own or control</w:t>
            </w:r>
          </w:p>
        </w:tc>
        <w:tc>
          <w:tcPr>
            <w:tcW w:w="0" w:type="auto"/>
            <w:vAlign w:val="center"/>
            <w:hideMark/>
          </w:tcPr>
          <w:p w14:paraId="3819E14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Legal Entity</w:t>
            </w:r>
          </w:p>
        </w:tc>
      </w:tr>
      <w:tr w:rsidR="005819CB" w:rsidRPr="005819CB" w14:paraId="02460CF6" w14:textId="77777777">
        <w:trPr>
          <w:tblCellSpacing w:w="15" w:type="dxa"/>
        </w:trPr>
        <w:tc>
          <w:tcPr>
            <w:tcW w:w="0" w:type="auto"/>
            <w:vAlign w:val="center"/>
            <w:hideMark/>
          </w:tcPr>
          <w:p w14:paraId="02FE310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Legal Entity</w:t>
            </w:r>
          </w:p>
        </w:tc>
        <w:tc>
          <w:tcPr>
            <w:tcW w:w="0" w:type="auto"/>
            <w:vAlign w:val="center"/>
            <w:hideMark/>
          </w:tcPr>
          <w:p w14:paraId="6CAB2C49"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identifies the legal party for</w:t>
            </w:r>
          </w:p>
        </w:tc>
        <w:tc>
          <w:tcPr>
            <w:tcW w:w="0" w:type="auto"/>
            <w:vAlign w:val="center"/>
            <w:hideMark/>
          </w:tcPr>
          <w:p w14:paraId="7DCED17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Customer</w:t>
            </w:r>
          </w:p>
        </w:tc>
      </w:tr>
      <w:tr w:rsidR="005819CB" w:rsidRPr="005819CB" w14:paraId="32BCE51D" w14:textId="77777777">
        <w:trPr>
          <w:tblCellSpacing w:w="15" w:type="dxa"/>
        </w:trPr>
        <w:tc>
          <w:tcPr>
            <w:tcW w:w="0" w:type="auto"/>
            <w:vAlign w:val="center"/>
            <w:hideMark/>
          </w:tcPr>
          <w:p w14:paraId="546BE74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Legal Entity</w:t>
            </w:r>
          </w:p>
        </w:tc>
        <w:tc>
          <w:tcPr>
            <w:tcW w:w="0" w:type="auto"/>
            <w:vAlign w:val="center"/>
            <w:hideMark/>
          </w:tcPr>
          <w:p w14:paraId="4A9535B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identifies the legal party for</w:t>
            </w:r>
          </w:p>
        </w:tc>
        <w:tc>
          <w:tcPr>
            <w:tcW w:w="0" w:type="auto"/>
            <w:vAlign w:val="center"/>
            <w:hideMark/>
          </w:tcPr>
          <w:p w14:paraId="593A758F"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Counterparty</w:t>
            </w:r>
          </w:p>
        </w:tc>
      </w:tr>
      <w:tr w:rsidR="005819CB" w:rsidRPr="005819CB" w14:paraId="38FB8318" w14:textId="77777777">
        <w:trPr>
          <w:tblCellSpacing w:w="15" w:type="dxa"/>
        </w:trPr>
        <w:tc>
          <w:tcPr>
            <w:tcW w:w="0" w:type="auto"/>
            <w:vAlign w:val="center"/>
            <w:hideMark/>
          </w:tcPr>
          <w:p w14:paraId="13AE4E2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Legal Entity</w:t>
            </w:r>
          </w:p>
        </w:tc>
        <w:tc>
          <w:tcPr>
            <w:tcW w:w="0" w:type="auto"/>
            <w:vAlign w:val="center"/>
            <w:hideMark/>
          </w:tcPr>
          <w:p w14:paraId="20F9B02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owns or sponsors</w:t>
            </w:r>
          </w:p>
        </w:tc>
        <w:tc>
          <w:tcPr>
            <w:tcW w:w="0" w:type="auto"/>
            <w:vAlign w:val="center"/>
            <w:hideMark/>
          </w:tcPr>
          <w:p w14:paraId="25E7643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Portfolio</w:t>
            </w:r>
          </w:p>
        </w:tc>
      </w:tr>
      <w:tr w:rsidR="005819CB" w:rsidRPr="005819CB" w14:paraId="5D94CB0B" w14:textId="77777777">
        <w:trPr>
          <w:tblCellSpacing w:w="15" w:type="dxa"/>
        </w:trPr>
        <w:tc>
          <w:tcPr>
            <w:tcW w:w="0" w:type="auto"/>
            <w:vAlign w:val="center"/>
            <w:hideMark/>
          </w:tcPr>
          <w:p w14:paraId="23E0FAA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Customer</w:t>
            </w:r>
          </w:p>
        </w:tc>
        <w:tc>
          <w:tcPr>
            <w:tcW w:w="0" w:type="auto"/>
            <w:vAlign w:val="center"/>
            <w:hideMark/>
          </w:tcPr>
          <w:p w14:paraId="08FC7E5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owns</w:t>
            </w:r>
          </w:p>
        </w:tc>
        <w:tc>
          <w:tcPr>
            <w:tcW w:w="0" w:type="auto"/>
            <w:vAlign w:val="center"/>
            <w:hideMark/>
          </w:tcPr>
          <w:p w14:paraId="598850E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Account</w:t>
            </w:r>
          </w:p>
        </w:tc>
      </w:tr>
      <w:tr w:rsidR="005819CB" w:rsidRPr="005819CB" w14:paraId="12A9AB71" w14:textId="77777777">
        <w:trPr>
          <w:tblCellSpacing w:w="15" w:type="dxa"/>
        </w:trPr>
        <w:tc>
          <w:tcPr>
            <w:tcW w:w="0" w:type="auto"/>
            <w:vAlign w:val="center"/>
            <w:hideMark/>
          </w:tcPr>
          <w:p w14:paraId="303E3B0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Counterparty</w:t>
            </w:r>
          </w:p>
        </w:tc>
        <w:tc>
          <w:tcPr>
            <w:tcW w:w="0" w:type="auto"/>
            <w:vAlign w:val="center"/>
            <w:hideMark/>
          </w:tcPr>
          <w:p w14:paraId="5E6AD00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participates as the opposing party in</w:t>
            </w:r>
          </w:p>
        </w:tc>
        <w:tc>
          <w:tcPr>
            <w:tcW w:w="0" w:type="auto"/>
            <w:vAlign w:val="center"/>
            <w:hideMark/>
          </w:tcPr>
          <w:p w14:paraId="42BAC879"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r>
      <w:tr w:rsidR="005819CB" w:rsidRPr="005819CB" w14:paraId="414FEBE2" w14:textId="77777777">
        <w:trPr>
          <w:tblCellSpacing w:w="15" w:type="dxa"/>
        </w:trPr>
        <w:tc>
          <w:tcPr>
            <w:tcW w:w="0" w:type="auto"/>
            <w:vAlign w:val="center"/>
            <w:hideMark/>
          </w:tcPr>
          <w:p w14:paraId="1222CD9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Broker</w:t>
            </w:r>
          </w:p>
        </w:tc>
        <w:tc>
          <w:tcPr>
            <w:tcW w:w="0" w:type="auto"/>
            <w:vAlign w:val="center"/>
            <w:hideMark/>
          </w:tcPr>
          <w:p w14:paraId="5C35F4E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routes or facilitates</w:t>
            </w:r>
          </w:p>
        </w:tc>
        <w:tc>
          <w:tcPr>
            <w:tcW w:w="0" w:type="auto"/>
            <w:vAlign w:val="center"/>
            <w:hideMark/>
          </w:tcPr>
          <w:p w14:paraId="1D00C34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r>
      <w:tr w:rsidR="005819CB" w:rsidRPr="005819CB" w14:paraId="27DE771A" w14:textId="77777777">
        <w:trPr>
          <w:tblCellSpacing w:w="15" w:type="dxa"/>
        </w:trPr>
        <w:tc>
          <w:tcPr>
            <w:tcW w:w="0" w:type="auto"/>
            <w:vAlign w:val="center"/>
            <w:hideMark/>
          </w:tcPr>
          <w:p w14:paraId="3219115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Account</w:t>
            </w:r>
          </w:p>
        </w:tc>
        <w:tc>
          <w:tcPr>
            <w:tcW w:w="0" w:type="auto"/>
            <w:vAlign w:val="center"/>
            <w:hideMark/>
          </w:tcPr>
          <w:p w14:paraId="06BA56ED"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places</w:t>
            </w:r>
          </w:p>
        </w:tc>
        <w:tc>
          <w:tcPr>
            <w:tcW w:w="0" w:type="auto"/>
            <w:vAlign w:val="center"/>
            <w:hideMark/>
          </w:tcPr>
          <w:p w14:paraId="35A5774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 Order</w:t>
            </w:r>
          </w:p>
        </w:tc>
      </w:tr>
      <w:tr w:rsidR="005819CB" w:rsidRPr="005819CB" w14:paraId="47FBC4F1" w14:textId="77777777">
        <w:trPr>
          <w:tblCellSpacing w:w="15" w:type="dxa"/>
        </w:trPr>
        <w:tc>
          <w:tcPr>
            <w:tcW w:w="0" w:type="auto"/>
            <w:vAlign w:val="center"/>
            <w:hideMark/>
          </w:tcPr>
          <w:p w14:paraId="1C8BE7C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Account</w:t>
            </w:r>
          </w:p>
        </w:tc>
        <w:tc>
          <w:tcPr>
            <w:tcW w:w="0" w:type="auto"/>
            <w:vAlign w:val="center"/>
            <w:hideMark/>
          </w:tcPr>
          <w:p w14:paraId="3E479423" w14:textId="5A8E7926"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 xml:space="preserve">receives </w:t>
            </w:r>
            <w:r w:rsidR="00F5022D">
              <w:rPr>
                <w:rFonts w:eastAsia="Times New Roman" w:cs="Times New Roman"/>
                <w:kern w:val="0"/>
                <w:szCs w:val="24"/>
                <w14:ligatures w14:val="none"/>
              </w:rPr>
              <w:t xml:space="preserve">the </w:t>
            </w:r>
            <w:r w:rsidRPr="005819CB">
              <w:rPr>
                <w:rFonts w:eastAsia="Times New Roman" w:cs="Times New Roman"/>
                <w:kern w:val="0"/>
                <w:szCs w:val="24"/>
                <w14:ligatures w14:val="none"/>
              </w:rPr>
              <w:t>allocated quantity in</w:t>
            </w:r>
          </w:p>
        </w:tc>
        <w:tc>
          <w:tcPr>
            <w:tcW w:w="0" w:type="auto"/>
            <w:vAlign w:val="center"/>
            <w:hideMark/>
          </w:tcPr>
          <w:p w14:paraId="5B0ACA3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Allocation</w:t>
            </w:r>
          </w:p>
        </w:tc>
      </w:tr>
      <w:tr w:rsidR="005819CB" w:rsidRPr="005819CB" w14:paraId="4D086463" w14:textId="77777777">
        <w:trPr>
          <w:tblCellSpacing w:w="15" w:type="dxa"/>
        </w:trPr>
        <w:tc>
          <w:tcPr>
            <w:tcW w:w="0" w:type="auto"/>
            <w:vAlign w:val="center"/>
            <w:hideMark/>
          </w:tcPr>
          <w:p w14:paraId="20BF372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Account</w:t>
            </w:r>
          </w:p>
        </w:tc>
        <w:tc>
          <w:tcPr>
            <w:tcW w:w="0" w:type="auto"/>
            <w:vAlign w:val="center"/>
            <w:hideMark/>
          </w:tcPr>
          <w:p w14:paraId="62B3B8B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books</w:t>
            </w:r>
          </w:p>
        </w:tc>
        <w:tc>
          <w:tcPr>
            <w:tcW w:w="0" w:type="auto"/>
            <w:vAlign w:val="center"/>
            <w:hideMark/>
          </w:tcPr>
          <w:p w14:paraId="23C1633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r>
      <w:tr w:rsidR="005819CB" w:rsidRPr="005819CB" w14:paraId="469FA589" w14:textId="77777777">
        <w:trPr>
          <w:tblCellSpacing w:w="15" w:type="dxa"/>
        </w:trPr>
        <w:tc>
          <w:tcPr>
            <w:tcW w:w="0" w:type="auto"/>
            <w:vAlign w:val="center"/>
            <w:hideMark/>
          </w:tcPr>
          <w:p w14:paraId="56000C4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Account</w:t>
            </w:r>
          </w:p>
        </w:tc>
        <w:tc>
          <w:tcPr>
            <w:tcW w:w="0" w:type="auto"/>
            <w:vAlign w:val="center"/>
            <w:hideMark/>
          </w:tcPr>
          <w:p w14:paraId="5AE398E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owns or supports</w:t>
            </w:r>
          </w:p>
        </w:tc>
        <w:tc>
          <w:tcPr>
            <w:tcW w:w="0" w:type="auto"/>
            <w:vAlign w:val="center"/>
            <w:hideMark/>
          </w:tcPr>
          <w:p w14:paraId="686D5D4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Portfolio</w:t>
            </w:r>
          </w:p>
        </w:tc>
      </w:tr>
      <w:tr w:rsidR="005819CB" w:rsidRPr="005819CB" w14:paraId="700B437C" w14:textId="77777777">
        <w:trPr>
          <w:tblCellSpacing w:w="15" w:type="dxa"/>
        </w:trPr>
        <w:tc>
          <w:tcPr>
            <w:tcW w:w="0" w:type="auto"/>
            <w:vAlign w:val="center"/>
            <w:hideMark/>
          </w:tcPr>
          <w:p w14:paraId="759E5C9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Account</w:t>
            </w:r>
          </w:p>
        </w:tc>
        <w:tc>
          <w:tcPr>
            <w:tcW w:w="0" w:type="auto"/>
            <w:vAlign w:val="center"/>
            <w:hideMark/>
          </w:tcPr>
          <w:p w14:paraId="57524B2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receives settlement activity through</w:t>
            </w:r>
          </w:p>
        </w:tc>
        <w:tc>
          <w:tcPr>
            <w:tcW w:w="0" w:type="auto"/>
            <w:vAlign w:val="center"/>
            <w:hideMark/>
          </w:tcPr>
          <w:p w14:paraId="0B1998E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Settlement Transaction</w:t>
            </w:r>
          </w:p>
        </w:tc>
      </w:tr>
      <w:tr w:rsidR="005819CB" w:rsidRPr="005819CB" w14:paraId="5B3F7BA4" w14:textId="77777777">
        <w:trPr>
          <w:tblCellSpacing w:w="15" w:type="dxa"/>
        </w:trPr>
        <w:tc>
          <w:tcPr>
            <w:tcW w:w="0" w:type="auto"/>
            <w:vAlign w:val="center"/>
            <w:hideMark/>
          </w:tcPr>
          <w:p w14:paraId="7B28D20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Account</w:t>
            </w:r>
          </w:p>
        </w:tc>
        <w:tc>
          <w:tcPr>
            <w:tcW w:w="0" w:type="auto"/>
            <w:vAlign w:val="center"/>
            <w:hideMark/>
          </w:tcPr>
          <w:p w14:paraId="680E124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records cash activity in</w:t>
            </w:r>
          </w:p>
        </w:tc>
        <w:tc>
          <w:tcPr>
            <w:tcW w:w="0" w:type="auto"/>
            <w:vAlign w:val="center"/>
            <w:hideMark/>
          </w:tcPr>
          <w:p w14:paraId="7EDF655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Cash Movement</w:t>
            </w:r>
          </w:p>
        </w:tc>
      </w:tr>
      <w:tr w:rsidR="005819CB" w:rsidRPr="005819CB" w14:paraId="193FE6A2" w14:textId="77777777">
        <w:trPr>
          <w:tblCellSpacing w:w="15" w:type="dxa"/>
        </w:trPr>
        <w:tc>
          <w:tcPr>
            <w:tcW w:w="0" w:type="auto"/>
            <w:vAlign w:val="center"/>
            <w:hideMark/>
          </w:tcPr>
          <w:p w14:paraId="2D7735E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Account</w:t>
            </w:r>
          </w:p>
        </w:tc>
        <w:tc>
          <w:tcPr>
            <w:tcW w:w="0" w:type="auto"/>
            <w:vAlign w:val="center"/>
            <w:hideMark/>
          </w:tcPr>
          <w:p w14:paraId="515B5A9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maintains collateral and margin balances in</w:t>
            </w:r>
          </w:p>
        </w:tc>
        <w:tc>
          <w:tcPr>
            <w:tcW w:w="0" w:type="auto"/>
            <w:vAlign w:val="center"/>
            <w:hideMark/>
          </w:tcPr>
          <w:p w14:paraId="38AE7EB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Margin Account</w:t>
            </w:r>
          </w:p>
        </w:tc>
      </w:tr>
      <w:tr w:rsidR="005819CB" w:rsidRPr="005819CB" w14:paraId="5FCC3109" w14:textId="77777777">
        <w:trPr>
          <w:tblCellSpacing w:w="15" w:type="dxa"/>
        </w:trPr>
        <w:tc>
          <w:tcPr>
            <w:tcW w:w="0" w:type="auto"/>
            <w:vAlign w:val="center"/>
            <w:hideMark/>
          </w:tcPr>
          <w:p w14:paraId="437F9883"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Underlying Asset</w:t>
            </w:r>
          </w:p>
        </w:tc>
        <w:tc>
          <w:tcPr>
            <w:tcW w:w="0" w:type="auto"/>
            <w:vAlign w:val="center"/>
            <w:hideMark/>
          </w:tcPr>
          <w:p w14:paraId="110AB442" w14:textId="05283875"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 xml:space="preserve">provides </w:t>
            </w:r>
            <w:r w:rsidR="00F5022D">
              <w:rPr>
                <w:rFonts w:eastAsia="Times New Roman" w:cs="Times New Roman"/>
                <w:kern w:val="0"/>
                <w:szCs w:val="24"/>
                <w14:ligatures w14:val="none"/>
              </w:rPr>
              <w:t xml:space="preserve">a </w:t>
            </w:r>
            <w:r w:rsidRPr="005819CB">
              <w:rPr>
                <w:rFonts w:eastAsia="Times New Roman" w:cs="Times New Roman"/>
                <w:kern w:val="0"/>
                <w:szCs w:val="24"/>
                <w14:ligatures w14:val="none"/>
              </w:rPr>
              <w:t>value reference for</w:t>
            </w:r>
          </w:p>
        </w:tc>
        <w:tc>
          <w:tcPr>
            <w:tcW w:w="0" w:type="auto"/>
            <w:vAlign w:val="center"/>
            <w:hideMark/>
          </w:tcPr>
          <w:p w14:paraId="62B1F33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r>
      <w:tr w:rsidR="005819CB" w:rsidRPr="005819CB" w14:paraId="31B22FB0" w14:textId="77777777">
        <w:trPr>
          <w:tblCellSpacing w:w="15" w:type="dxa"/>
        </w:trPr>
        <w:tc>
          <w:tcPr>
            <w:tcW w:w="0" w:type="auto"/>
            <w:vAlign w:val="center"/>
            <w:hideMark/>
          </w:tcPr>
          <w:p w14:paraId="37821EFB"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c>
          <w:tcPr>
            <w:tcW w:w="0" w:type="auto"/>
            <w:vAlign w:val="center"/>
            <w:hideMark/>
          </w:tcPr>
          <w:p w14:paraId="15EB4E9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requested for trading through</w:t>
            </w:r>
          </w:p>
        </w:tc>
        <w:tc>
          <w:tcPr>
            <w:tcW w:w="0" w:type="auto"/>
            <w:vAlign w:val="center"/>
            <w:hideMark/>
          </w:tcPr>
          <w:p w14:paraId="7F31B9CF"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 Order</w:t>
            </w:r>
          </w:p>
        </w:tc>
      </w:tr>
      <w:tr w:rsidR="005819CB" w:rsidRPr="005819CB" w14:paraId="5CDD2018" w14:textId="77777777">
        <w:trPr>
          <w:tblCellSpacing w:w="15" w:type="dxa"/>
        </w:trPr>
        <w:tc>
          <w:tcPr>
            <w:tcW w:w="0" w:type="auto"/>
            <w:vAlign w:val="center"/>
            <w:hideMark/>
          </w:tcPr>
          <w:p w14:paraId="1BDC459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c>
          <w:tcPr>
            <w:tcW w:w="0" w:type="auto"/>
            <w:vAlign w:val="center"/>
            <w:hideMark/>
          </w:tcPr>
          <w:p w14:paraId="6C664C6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executed and booked as</w:t>
            </w:r>
          </w:p>
        </w:tc>
        <w:tc>
          <w:tcPr>
            <w:tcW w:w="0" w:type="auto"/>
            <w:vAlign w:val="center"/>
            <w:hideMark/>
          </w:tcPr>
          <w:p w14:paraId="2B8D0A9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r>
      <w:tr w:rsidR="005819CB" w:rsidRPr="005819CB" w14:paraId="41F3E1A2" w14:textId="77777777">
        <w:trPr>
          <w:tblCellSpacing w:w="15" w:type="dxa"/>
        </w:trPr>
        <w:tc>
          <w:tcPr>
            <w:tcW w:w="0" w:type="auto"/>
            <w:vAlign w:val="center"/>
            <w:hideMark/>
          </w:tcPr>
          <w:p w14:paraId="2A252A9D"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c>
          <w:tcPr>
            <w:tcW w:w="0" w:type="auto"/>
            <w:vAlign w:val="center"/>
            <w:hideMark/>
          </w:tcPr>
          <w:p w14:paraId="6EE0801B"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held as</w:t>
            </w:r>
          </w:p>
        </w:tc>
        <w:tc>
          <w:tcPr>
            <w:tcW w:w="0" w:type="auto"/>
            <w:vAlign w:val="center"/>
            <w:hideMark/>
          </w:tcPr>
          <w:p w14:paraId="359F790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Position</w:t>
            </w:r>
          </w:p>
        </w:tc>
      </w:tr>
      <w:tr w:rsidR="005819CB" w:rsidRPr="005819CB" w14:paraId="1A1E5731" w14:textId="77777777">
        <w:trPr>
          <w:tblCellSpacing w:w="15" w:type="dxa"/>
        </w:trPr>
        <w:tc>
          <w:tcPr>
            <w:tcW w:w="0" w:type="auto"/>
            <w:vAlign w:val="center"/>
            <w:hideMark/>
          </w:tcPr>
          <w:p w14:paraId="4423CBA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c>
          <w:tcPr>
            <w:tcW w:w="0" w:type="auto"/>
            <w:vAlign w:val="center"/>
            <w:hideMark/>
          </w:tcPr>
          <w:p w14:paraId="2C47E02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priced by</w:t>
            </w:r>
          </w:p>
        </w:tc>
        <w:tc>
          <w:tcPr>
            <w:tcW w:w="0" w:type="auto"/>
            <w:vAlign w:val="center"/>
            <w:hideMark/>
          </w:tcPr>
          <w:p w14:paraId="5C6E9A3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Market Data</w:t>
            </w:r>
          </w:p>
        </w:tc>
      </w:tr>
      <w:tr w:rsidR="005819CB" w:rsidRPr="005819CB" w14:paraId="0A093176" w14:textId="77777777">
        <w:trPr>
          <w:tblCellSpacing w:w="15" w:type="dxa"/>
        </w:trPr>
        <w:tc>
          <w:tcPr>
            <w:tcW w:w="0" w:type="auto"/>
            <w:vAlign w:val="center"/>
            <w:hideMark/>
          </w:tcPr>
          <w:p w14:paraId="1903C34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c>
          <w:tcPr>
            <w:tcW w:w="0" w:type="auto"/>
            <w:vAlign w:val="center"/>
            <w:hideMark/>
          </w:tcPr>
          <w:p w14:paraId="4067316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measured by</w:t>
            </w:r>
          </w:p>
        </w:tc>
        <w:tc>
          <w:tcPr>
            <w:tcW w:w="0" w:type="auto"/>
            <w:vAlign w:val="center"/>
            <w:hideMark/>
          </w:tcPr>
          <w:p w14:paraId="51DF994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Risk Metric</w:t>
            </w:r>
          </w:p>
        </w:tc>
      </w:tr>
      <w:tr w:rsidR="005819CB" w:rsidRPr="005819CB" w14:paraId="02BF237A" w14:textId="77777777">
        <w:trPr>
          <w:tblCellSpacing w:w="15" w:type="dxa"/>
        </w:trPr>
        <w:tc>
          <w:tcPr>
            <w:tcW w:w="0" w:type="auto"/>
            <w:vAlign w:val="center"/>
            <w:hideMark/>
          </w:tcPr>
          <w:p w14:paraId="1DBB337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c>
          <w:tcPr>
            <w:tcW w:w="0" w:type="auto"/>
            <w:vAlign w:val="center"/>
            <w:hideMark/>
          </w:tcPr>
          <w:p w14:paraId="31B22D8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evaluated under</w:t>
            </w:r>
          </w:p>
        </w:tc>
        <w:tc>
          <w:tcPr>
            <w:tcW w:w="0" w:type="auto"/>
            <w:vAlign w:val="center"/>
            <w:hideMark/>
          </w:tcPr>
          <w:p w14:paraId="1B8970F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Risk Result</w:t>
            </w:r>
          </w:p>
        </w:tc>
      </w:tr>
      <w:tr w:rsidR="005819CB" w:rsidRPr="005819CB" w14:paraId="75B7D6C4" w14:textId="77777777">
        <w:trPr>
          <w:tblCellSpacing w:w="15" w:type="dxa"/>
        </w:trPr>
        <w:tc>
          <w:tcPr>
            <w:tcW w:w="0" w:type="auto"/>
            <w:vAlign w:val="center"/>
            <w:hideMark/>
          </w:tcPr>
          <w:p w14:paraId="79C0A2D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Derivative Instrument</w:t>
            </w:r>
          </w:p>
        </w:tc>
        <w:tc>
          <w:tcPr>
            <w:tcW w:w="0" w:type="auto"/>
            <w:vAlign w:val="center"/>
            <w:hideMark/>
          </w:tcPr>
          <w:p w14:paraId="6E33C95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described by</w:t>
            </w:r>
          </w:p>
        </w:tc>
        <w:tc>
          <w:tcPr>
            <w:tcW w:w="0" w:type="auto"/>
            <w:vAlign w:val="center"/>
            <w:hideMark/>
          </w:tcPr>
          <w:p w14:paraId="53BF875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Instrument Attribute</w:t>
            </w:r>
          </w:p>
        </w:tc>
      </w:tr>
      <w:tr w:rsidR="005819CB" w:rsidRPr="005819CB" w14:paraId="21B0D2F3" w14:textId="77777777">
        <w:trPr>
          <w:tblCellSpacing w:w="15" w:type="dxa"/>
        </w:trPr>
        <w:tc>
          <w:tcPr>
            <w:tcW w:w="0" w:type="auto"/>
            <w:vAlign w:val="center"/>
            <w:hideMark/>
          </w:tcPr>
          <w:p w14:paraId="28B705F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 Order</w:t>
            </w:r>
          </w:p>
        </w:tc>
        <w:tc>
          <w:tcPr>
            <w:tcW w:w="0" w:type="auto"/>
            <w:vAlign w:val="center"/>
            <w:hideMark/>
          </w:tcPr>
          <w:p w14:paraId="106C391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filled by</w:t>
            </w:r>
          </w:p>
        </w:tc>
        <w:tc>
          <w:tcPr>
            <w:tcW w:w="0" w:type="auto"/>
            <w:vAlign w:val="center"/>
            <w:hideMark/>
          </w:tcPr>
          <w:p w14:paraId="22D6B37F"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Execution</w:t>
            </w:r>
          </w:p>
        </w:tc>
      </w:tr>
      <w:tr w:rsidR="005819CB" w:rsidRPr="005819CB" w14:paraId="3F07C277" w14:textId="77777777">
        <w:trPr>
          <w:tblCellSpacing w:w="15" w:type="dxa"/>
        </w:trPr>
        <w:tc>
          <w:tcPr>
            <w:tcW w:w="0" w:type="auto"/>
            <w:vAlign w:val="center"/>
            <w:hideMark/>
          </w:tcPr>
          <w:p w14:paraId="1799768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lastRenderedPageBreak/>
              <w:t>Execution</w:t>
            </w:r>
          </w:p>
        </w:tc>
        <w:tc>
          <w:tcPr>
            <w:tcW w:w="0" w:type="auto"/>
            <w:vAlign w:val="center"/>
            <w:hideMark/>
          </w:tcPr>
          <w:p w14:paraId="75646F4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creates</w:t>
            </w:r>
          </w:p>
        </w:tc>
        <w:tc>
          <w:tcPr>
            <w:tcW w:w="0" w:type="auto"/>
            <w:vAlign w:val="center"/>
            <w:hideMark/>
          </w:tcPr>
          <w:p w14:paraId="290EFCDF"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r>
      <w:tr w:rsidR="005819CB" w:rsidRPr="005819CB" w14:paraId="3A5BFFD4" w14:textId="77777777">
        <w:trPr>
          <w:tblCellSpacing w:w="15" w:type="dxa"/>
        </w:trPr>
        <w:tc>
          <w:tcPr>
            <w:tcW w:w="0" w:type="auto"/>
            <w:vAlign w:val="center"/>
            <w:hideMark/>
          </w:tcPr>
          <w:p w14:paraId="27BC25B3"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Execution</w:t>
            </w:r>
          </w:p>
        </w:tc>
        <w:tc>
          <w:tcPr>
            <w:tcW w:w="0" w:type="auto"/>
            <w:vAlign w:val="center"/>
            <w:hideMark/>
          </w:tcPr>
          <w:p w14:paraId="77FF0F0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distributed through</w:t>
            </w:r>
          </w:p>
        </w:tc>
        <w:tc>
          <w:tcPr>
            <w:tcW w:w="0" w:type="auto"/>
            <w:vAlign w:val="center"/>
            <w:hideMark/>
          </w:tcPr>
          <w:p w14:paraId="0EF078E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Allocation</w:t>
            </w:r>
          </w:p>
        </w:tc>
      </w:tr>
      <w:tr w:rsidR="005819CB" w:rsidRPr="005819CB" w14:paraId="664D9436" w14:textId="77777777">
        <w:trPr>
          <w:tblCellSpacing w:w="15" w:type="dxa"/>
        </w:trPr>
        <w:tc>
          <w:tcPr>
            <w:tcW w:w="0" w:type="auto"/>
            <w:vAlign w:val="center"/>
            <w:hideMark/>
          </w:tcPr>
          <w:p w14:paraId="767238C9"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c>
          <w:tcPr>
            <w:tcW w:w="0" w:type="auto"/>
            <w:vAlign w:val="center"/>
            <w:hideMark/>
          </w:tcPr>
          <w:p w14:paraId="16F96FE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confirmed by</w:t>
            </w:r>
          </w:p>
        </w:tc>
        <w:tc>
          <w:tcPr>
            <w:tcW w:w="0" w:type="auto"/>
            <w:vAlign w:val="center"/>
            <w:hideMark/>
          </w:tcPr>
          <w:p w14:paraId="7A45E42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 Confirmation</w:t>
            </w:r>
          </w:p>
        </w:tc>
      </w:tr>
      <w:tr w:rsidR="005819CB" w:rsidRPr="005819CB" w14:paraId="221FB095" w14:textId="77777777">
        <w:trPr>
          <w:tblCellSpacing w:w="15" w:type="dxa"/>
        </w:trPr>
        <w:tc>
          <w:tcPr>
            <w:tcW w:w="0" w:type="auto"/>
            <w:vAlign w:val="center"/>
            <w:hideMark/>
          </w:tcPr>
          <w:p w14:paraId="493BCDBC"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c>
          <w:tcPr>
            <w:tcW w:w="0" w:type="auto"/>
            <w:vAlign w:val="center"/>
            <w:hideMark/>
          </w:tcPr>
          <w:p w14:paraId="1650714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changed by</w:t>
            </w:r>
          </w:p>
        </w:tc>
        <w:tc>
          <w:tcPr>
            <w:tcW w:w="0" w:type="auto"/>
            <w:vAlign w:val="center"/>
            <w:hideMark/>
          </w:tcPr>
          <w:p w14:paraId="27166B5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 Amendment</w:t>
            </w:r>
          </w:p>
        </w:tc>
      </w:tr>
      <w:tr w:rsidR="005819CB" w:rsidRPr="005819CB" w14:paraId="402C0617" w14:textId="77777777">
        <w:trPr>
          <w:tblCellSpacing w:w="15" w:type="dxa"/>
        </w:trPr>
        <w:tc>
          <w:tcPr>
            <w:tcW w:w="0" w:type="auto"/>
            <w:vAlign w:val="center"/>
            <w:hideMark/>
          </w:tcPr>
          <w:p w14:paraId="34C619C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c>
          <w:tcPr>
            <w:tcW w:w="0" w:type="auto"/>
            <w:vAlign w:val="center"/>
            <w:hideMark/>
          </w:tcPr>
          <w:p w14:paraId="2ED78C02" w14:textId="4A06F68D"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 xml:space="preserve">is </w:t>
            </w:r>
            <w:r w:rsidR="00F5022D">
              <w:rPr>
                <w:rFonts w:eastAsia="Times New Roman" w:cs="Times New Roman"/>
                <w:kern w:val="0"/>
                <w:szCs w:val="24"/>
                <w14:ligatures w14:val="none"/>
              </w:rPr>
              <w:t>canceled</w:t>
            </w:r>
            <w:r w:rsidRPr="005819CB">
              <w:rPr>
                <w:rFonts w:eastAsia="Times New Roman" w:cs="Times New Roman"/>
                <w:kern w:val="0"/>
                <w:szCs w:val="24"/>
                <w14:ligatures w14:val="none"/>
              </w:rPr>
              <w:t xml:space="preserve"> by</w:t>
            </w:r>
          </w:p>
        </w:tc>
        <w:tc>
          <w:tcPr>
            <w:tcW w:w="0" w:type="auto"/>
            <w:vAlign w:val="center"/>
            <w:hideMark/>
          </w:tcPr>
          <w:p w14:paraId="1E2302B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 Cancellation</w:t>
            </w:r>
          </w:p>
        </w:tc>
      </w:tr>
      <w:tr w:rsidR="005819CB" w:rsidRPr="005819CB" w14:paraId="1A0816CD" w14:textId="77777777">
        <w:trPr>
          <w:tblCellSpacing w:w="15" w:type="dxa"/>
        </w:trPr>
        <w:tc>
          <w:tcPr>
            <w:tcW w:w="0" w:type="auto"/>
            <w:vAlign w:val="center"/>
            <w:hideMark/>
          </w:tcPr>
          <w:p w14:paraId="73F2718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c>
          <w:tcPr>
            <w:tcW w:w="0" w:type="auto"/>
            <w:vAlign w:val="center"/>
            <w:hideMark/>
          </w:tcPr>
          <w:p w14:paraId="36F930D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generates</w:t>
            </w:r>
          </w:p>
        </w:tc>
        <w:tc>
          <w:tcPr>
            <w:tcW w:w="0" w:type="auto"/>
            <w:vAlign w:val="center"/>
            <w:hideMark/>
          </w:tcPr>
          <w:p w14:paraId="10D36CF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Settlement Instruction</w:t>
            </w:r>
          </w:p>
        </w:tc>
      </w:tr>
      <w:tr w:rsidR="005819CB" w:rsidRPr="005819CB" w14:paraId="593BCC3D" w14:textId="77777777">
        <w:trPr>
          <w:tblCellSpacing w:w="15" w:type="dxa"/>
        </w:trPr>
        <w:tc>
          <w:tcPr>
            <w:tcW w:w="0" w:type="auto"/>
            <w:vAlign w:val="center"/>
            <w:hideMark/>
          </w:tcPr>
          <w:p w14:paraId="435F6C7F"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w:t>
            </w:r>
          </w:p>
        </w:tc>
        <w:tc>
          <w:tcPr>
            <w:tcW w:w="0" w:type="auto"/>
            <w:vAlign w:val="center"/>
            <w:hideMark/>
          </w:tcPr>
          <w:p w14:paraId="3ED21C8D"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may trigger</w:t>
            </w:r>
          </w:p>
        </w:tc>
        <w:tc>
          <w:tcPr>
            <w:tcW w:w="0" w:type="auto"/>
            <w:vAlign w:val="center"/>
            <w:hideMark/>
          </w:tcPr>
          <w:p w14:paraId="1D9E33F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Trade Surveillance Alert</w:t>
            </w:r>
          </w:p>
        </w:tc>
      </w:tr>
      <w:tr w:rsidR="005819CB" w:rsidRPr="005819CB" w14:paraId="2F0AD2BA" w14:textId="77777777">
        <w:trPr>
          <w:tblCellSpacing w:w="15" w:type="dxa"/>
        </w:trPr>
        <w:tc>
          <w:tcPr>
            <w:tcW w:w="0" w:type="auto"/>
            <w:vAlign w:val="center"/>
            <w:hideMark/>
          </w:tcPr>
          <w:p w14:paraId="66172DA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Portfolio</w:t>
            </w:r>
          </w:p>
        </w:tc>
        <w:tc>
          <w:tcPr>
            <w:tcW w:w="0" w:type="auto"/>
            <w:vAlign w:val="center"/>
            <w:hideMark/>
          </w:tcPr>
          <w:p w14:paraId="223E61C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contains</w:t>
            </w:r>
          </w:p>
        </w:tc>
        <w:tc>
          <w:tcPr>
            <w:tcW w:w="0" w:type="auto"/>
            <w:vAlign w:val="center"/>
            <w:hideMark/>
          </w:tcPr>
          <w:p w14:paraId="4E3A563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Position</w:t>
            </w:r>
          </w:p>
        </w:tc>
      </w:tr>
      <w:tr w:rsidR="005819CB" w:rsidRPr="005819CB" w14:paraId="2CE64943" w14:textId="77777777">
        <w:trPr>
          <w:tblCellSpacing w:w="15" w:type="dxa"/>
        </w:trPr>
        <w:tc>
          <w:tcPr>
            <w:tcW w:w="0" w:type="auto"/>
            <w:vAlign w:val="center"/>
            <w:hideMark/>
          </w:tcPr>
          <w:p w14:paraId="4D42F36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Position</w:t>
            </w:r>
          </w:p>
        </w:tc>
        <w:tc>
          <w:tcPr>
            <w:tcW w:w="0" w:type="auto"/>
            <w:vAlign w:val="center"/>
            <w:hideMark/>
          </w:tcPr>
          <w:p w14:paraId="1C7F807F"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historically recorded in</w:t>
            </w:r>
          </w:p>
        </w:tc>
        <w:tc>
          <w:tcPr>
            <w:tcW w:w="0" w:type="auto"/>
            <w:vAlign w:val="center"/>
            <w:hideMark/>
          </w:tcPr>
          <w:p w14:paraId="62713AB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Position History</w:t>
            </w:r>
          </w:p>
        </w:tc>
      </w:tr>
      <w:tr w:rsidR="005819CB" w:rsidRPr="005819CB" w14:paraId="24E24E7A" w14:textId="77777777">
        <w:trPr>
          <w:tblCellSpacing w:w="15" w:type="dxa"/>
        </w:trPr>
        <w:tc>
          <w:tcPr>
            <w:tcW w:w="0" w:type="auto"/>
            <w:vAlign w:val="center"/>
            <w:hideMark/>
          </w:tcPr>
          <w:p w14:paraId="19954D7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Position</w:t>
            </w:r>
          </w:p>
        </w:tc>
        <w:tc>
          <w:tcPr>
            <w:tcW w:w="0" w:type="auto"/>
            <w:vAlign w:val="center"/>
            <w:hideMark/>
          </w:tcPr>
          <w:p w14:paraId="0FC94B3D"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measured by</w:t>
            </w:r>
          </w:p>
        </w:tc>
        <w:tc>
          <w:tcPr>
            <w:tcW w:w="0" w:type="auto"/>
            <w:vAlign w:val="center"/>
            <w:hideMark/>
          </w:tcPr>
          <w:p w14:paraId="38580C7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Risk Metric</w:t>
            </w:r>
          </w:p>
        </w:tc>
      </w:tr>
      <w:tr w:rsidR="005819CB" w:rsidRPr="005819CB" w14:paraId="06FF12A3" w14:textId="77777777">
        <w:trPr>
          <w:tblCellSpacing w:w="15" w:type="dxa"/>
        </w:trPr>
        <w:tc>
          <w:tcPr>
            <w:tcW w:w="0" w:type="auto"/>
            <w:vAlign w:val="center"/>
            <w:hideMark/>
          </w:tcPr>
          <w:p w14:paraId="18E968B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Position</w:t>
            </w:r>
          </w:p>
        </w:tc>
        <w:tc>
          <w:tcPr>
            <w:tcW w:w="0" w:type="auto"/>
            <w:vAlign w:val="center"/>
            <w:hideMark/>
          </w:tcPr>
          <w:p w14:paraId="4D63693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evaluated under</w:t>
            </w:r>
          </w:p>
        </w:tc>
        <w:tc>
          <w:tcPr>
            <w:tcW w:w="0" w:type="auto"/>
            <w:vAlign w:val="center"/>
            <w:hideMark/>
          </w:tcPr>
          <w:p w14:paraId="79C7F496"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Risk Result</w:t>
            </w:r>
          </w:p>
        </w:tc>
      </w:tr>
      <w:tr w:rsidR="005819CB" w:rsidRPr="005819CB" w14:paraId="36A74105" w14:textId="77777777">
        <w:trPr>
          <w:tblCellSpacing w:w="15" w:type="dxa"/>
        </w:trPr>
        <w:tc>
          <w:tcPr>
            <w:tcW w:w="0" w:type="auto"/>
            <w:vAlign w:val="center"/>
            <w:hideMark/>
          </w:tcPr>
          <w:p w14:paraId="027A995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Market Data Source</w:t>
            </w:r>
          </w:p>
        </w:tc>
        <w:tc>
          <w:tcPr>
            <w:tcW w:w="0" w:type="auto"/>
            <w:vAlign w:val="center"/>
            <w:hideMark/>
          </w:tcPr>
          <w:p w14:paraId="345837F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supplies</w:t>
            </w:r>
          </w:p>
        </w:tc>
        <w:tc>
          <w:tcPr>
            <w:tcW w:w="0" w:type="auto"/>
            <w:vAlign w:val="center"/>
            <w:hideMark/>
          </w:tcPr>
          <w:p w14:paraId="3768483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Market Data</w:t>
            </w:r>
          </w:p>
        </w:tc>
      </w:tr>
      <w:tr w:rsidR="005819CB" w:rsidRPr="005819CB" w14:paraId="06DA5D0D" w14:textId="77777777">
        <w:trPr>
          <w:tblCellSpacing w:w="15" w:type="dxa"/>
        </w:trPr>
        <w:tc>
          <w:tcPr>
            <w:tcW w:w="0" w:type="auto"/>
            <w:vAlign w:val="center"/>
            <w:hideMark/>
          </w:tcPr>
          <w:p w14:paraId="49762AE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Market Data</w:t>
            </w:r>
          </w:p>
        </w:tc>
        <w:tc>
          <w:tcPr>
            <w:tcW w:w="0" w:type="auto"/>
            <w:vAlign w:val="center"/>
            <w:hideMark/>
          </w:tcPr>
          <w:p w14:paraId="5558510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historically versioned by</w:t>
            </w:r>
          </w:p>
        </w:tc>
        <w:tc>
          <w:tcPr>
            <w:tcW w:w="0" w:type="auto"/>
            <w:vAlign w:val="center"/>
            <w:hideMark/>
          </w:tcPr>
          <w:p w14:paraId="38288DF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Market Data History</w:t>
            </w:r>
          </w:p>
        </w:tc>
      </w:tr>
      <w:tr w:rsidR="005819CB" w:rsidRPr="005819CB" w14:paraId="0EE38B44" w14:textId="77777777">
        <w:trPr>
          <w:tblCellSpacing w:w="15" w:type="dxa"/>
        </w:trPr>
        <w:tc>
          <w:tcPr>
            <w:tcW w:w="0" w:type="auto"/>
            <w:vAlign w:val="center"/>
            <w:hideMark/>
          </w:tcPr>
          <w:p w14:paraId="023070ED"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Risk Scenario</w:t>
            </w:r>
          </w:p>
        </w:tc>
        <w:tc>
          <w:tcPr>
            <w:tcW w:w="0" w:type="auto"/>
            <w:vAlign w:val="center"/>
            <w:hideMark/>
          </w:tcPr>
          <w:p w14:paraId="1768E63A"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produces</w:t>
            </w:r>
          </w:p>
        </w:tc>
        <w:tc>
          <w:tcPr>
            <w:tcW w:w="0" w:type="auto"/>
            <w:vAlign w:val="center"/>
            <w:hideMark/>
          </w:tcPr>
          <w:p w14:paraId="2E55066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Risk Result</w:t>
            </w:r>
          </w:p>
        </w:tc>
      </w:tr>
      <w:tr w:rsidR="005819CB" w:rsidRPr="005819CB" w14:paraId="7004D91A" w14:textId="77777777">
        <w:trPr>
          <w:tblCellSpacing w:w="15" w:type="dxa"/>
        </w:trPr>
        <w:tc>
          <w:tcPr>
            <w:tcW w:w="0" w:type="auto"/>
            <w:vAlign w:val="center"/>
            <w:hideMark/>
          </w:tcPr>
          <w:p w14:paraId="4A626E1E"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Settlement Instruction</w:t>
            </w:r>
          </w:p>
        </w:tc>
        <w:tc>
          <w:tcPr>
            <w:tcW w:w="0" w:type="auto"/>
            <w:vAlign w:val="center"/>
            <w:hideMark/>
          </w:tcPr>
          <w:p w14:paraId="3D275A80"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results in</w:t>
            </w:r>
          </w:p>
        </w:tc>
        <w:tc>
          <w:tcPr>
            <w:tcW w:w="0" w:type="auto"/>
            <w:vAlign w:val="center"/>
            <w:hideMark/>
          </w:tcPr>
          <w:p w14:paraId="29C7C608"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Settlement Transaction</w:t>
            </w:r>
          </w:p>
        </w:tc>
      </w:tr>
      <w:tr w:rsidR="005819CB" w:rsidRPr="005819CB" w14:paraId="02D48AD9" w14:textId="77777777">
        <w:trPr>
          <w:tblCellSpacing w:w="15" w:type="dxa"/>
        </w:trPr>
        <w:tc>
          <w:tcPr>
            <w:tcW w:w="0" w:type="auto"/>
            <w:vAlign w:val="center"/>
            <w:hideMark/>
          </w:tcPr>
          <w:p w14:paraId="05099D2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Margin Account</w:t>
            </w:r>
          </w:p>
        </w:tc>
        <w:tc>
          <w:tcPr>
            <w:tcW w:w="0" w:type="auto"/>
            <w:vAlign w:val="center"/>
            <w:hideMark/>
          </w:tcPr>
          <w:p w14:paraId="5CDDB701"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supported by</w:t>
            </w:r>
          </w:p>
        </w:tc>
        <w:tc>
          <w:tcPr>
            <w:tcW w:w="0" w:type="auto"/>
            <w:vAlign w:val="center"/>
            <w:hideMark/>
          </w:tcPr>
          <w:p w14:paraId="40C28E29"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Collateral</w:t>
            </w:r>
          </w:p>
        </w:tc>
      </w:tr>
      <w:tr w:rsidR="005819CB" w:rsidRPr="005819CB" w14:paraId="25BCCBC6" w14:textId="77777777">
        <w:trPr>
          <w:tblCellSpacing w:w="15" w:type="dxa"/>
        </w:trPr>
        <w:tc>
          <w:tcPr>
            <w:tcW w:w="0" w:type="auto"/>
            <w:vAlign w:val="center"/>
            <w:hideMark/>
          </w:tcPr>
          <w:p w14:paraId="2EDF530B"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Regulation</w:t>
            </w:r>
          </w:p>
        </w:tc>
        <w:tc>
          <w:tcPr>
            <w:tcW w:w="0" w:type="auto"/>
            <w:vAlign w:val="center"/>
            <w:hideMark/>
          </w:tcPr>
          <w:p w14:paraId="488186EB"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requires</w:t>
            </w:r>
          </w:p>
        </w:tc>
        <w:tc>
          <w:tcPr>
            <w:tcW w:w="0" w:type="auto"/>
            <w:vAlign w:val="center"/>
            <w:hideMark/>
          </w:tcPr>
          <w:p w14:paraId="2C21BF83"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Reporting Obligation</w:t>
            </w:r>
          </w:p>
        </w:tc>
      </w:tr>
      <w:tr w:rsidR="005819CB" w:rsidRPr="005819CB" w14:paraId="4F52AD9F" w14:textId="77777777">
        <w:trPr>
          <w:tblCellSpacing w:w="15" w:type="dxa"/>
        </w:trPr>
        <w:tc>
          <w:tcPr>
            <w:tcW w:w="0" w:type="auto"/>
            <w:vAlign w:val="center"/>
            <w:hideMark/>
          </w:tcPr>
          <w:p w14:paraId="56E233D5"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Role</w:t>
            </w:r>
          </w:p>
        </w:tc>
        <w:tc>
          <w:tcPr>
            <w:tcW w:w="0" w:type="auto"/>
            <w:vAlign w:val="center"/>
            <w:hideMark/>
          </w:tcPr>
          <w:p w14:paraId="3EEB687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is assigned to</w:t>
            </w:r>
          </w:p>
        </w:tc>
        <w:tc>
          <w:tcPr>
            <w:tcW w:w="0" w:type="auto"/>
            <w:vAlign w:val="center"/>
            <w:hideMark/>
          </w:tcPr>
          <w:p w14:paraId="68138142"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App User</w:t>
            </w:r>
          </w:p>
        </w:tc>
      </w:tr>
      <w:tr w:rsidR="005819CB" w:rsidRPr="005819CB" w14:paraId="7961F3F1" w14:textId="77777777">
        <w:trPr>
          <w:tblCellSpacing w:w="15" w:type="dxa"/>
        </w:trPr>
        <w:tc>
          <w:tcPr>
            <w:tcW w:w="0" w:type="auto"/>
            <w:vAlign w:val="center"/>
            <w:hideMark/>
          </w:tcPr>
          <w:p w14:paraId="31DB9523"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Role</w:t>
            </w:r>
          </w:p>
        </w:tc>
        <w:tc>
          <w:tcPr>
            <w:tcW w:w="0" w:type="auto"/>
            <w:vAlign w:val="center"/>
            <w:hideMark/>
          </w:tcPr>
          <w:p w14:paraId="4FF53A87"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grants</w:t>
            </w:r>
          </w:p>
        </w:tc>
        <w:tc>
          <w:tcPr>
            <w:tcW w:w="0" w:type="auto"/>
            <w:vAlign w:val="center"/>
            <w:hideMark/>
          </w:tcPr>
          <w:p w14:paraId="0DD32C94" w14:textId="77777777" w:rsidR="005819CB" w:rsidRPr="005819CB" w:rsidRDefault="005819CB" w:rsidP="005819CB">
            <w:pPr>
              <w:spacing w:before="0" w:after="0" w:line="240" w:lineRule="auto"/>
              <w:rPr>
                <w:rFonts w:eastAsia="Times New Roman" w:cs="Times New Roman"/>
                <w:kern w:val="0"/>
                <w:szCs w:val="24"/>
                <w14:ligatures w14:val="none"/>
              </w:rPr>
            </w:pPr>
            <w:r w:rsidRPr="005819CB">
              <w:rPr>
                <w:rFonts w:eastAsia="Times New Roman" w:cs="Times New Roman"/>
                <w:kern w:val="0"/>
                <w:szCs w:val="24"/>
                <w14:ligatures w14:val="none"/>
              </w:rPr>
              <w:t>Permission</w:t>
            </w:r>
          </w:p>
        </w:tc>
      </w:tr>
    </w:tbl>
    <w:p w14:paraId="0867E15F" w14:textId="774193F5" w:rsidR="00EE7A02" w:rsidRDefault="00EE7A02" w:rsidP="0048625A"/>
    <w:p w14:paraId="29D60A47" w14:textId="77777777" w:rsidR="00EE7A02" w:rsidRDefault="00EE7A02">
      <w:pPr>
        <w:spacing w:before="0" w:after="160" w:line="259" w:lineRule="auto"/>
      </w:pPr>
      <w:r>
        <w:br w:type="page"/>
      </w:r>
    </w:p>
    <w:p w14:paraId="2436D5BA" w14:textId="77777777" w:rsidR="0048625A" w:rsidRPr="00561BF5" w:rsidRDefault="0048625A" w:rsidP="005819CB">
      <w:pPr>
        <w:pStyle w:val="BookHeading3"/>
      </w:pPr>
      <w:r w:rsidRPr="00561BF5">
        <w:lastRenderedPageBreak/>
        <w:t>Disclaimer</w:t>
      </w:r>
    </w:p>
    <w:p w14:paraId="66B20E7E"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The conceptual models, logical models, database structures, Microsoft SQL Server scripts, analytical queries, diagrams, documentation, and supporting materials contained in this publication were developed exclusively as instructional examples intended for learning, experimentation, evaluation, and preliminary prototype development.</w:t>
      </w:r>
    </w:p>
    <w:p w14:paraId="57E2F461"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 xml:space="preserve">These materials are not represented as certified production systems, enterprise-ready architectures, or operational standards. Readers and users are solely responsible for independently reviewing, testing, validating, securing, and adapting all database objects, code samples, and architectural designs </w:t>
      </w:r>
      <w:r>
        <w:rPr>
          <w:rFonts w:eastAsia="Times New Roman" w:cs="Times New Roman"/>
          <w:kern w:val="0"/>
          <w:szCs w:val="24"/>
          <w14:ligatures w14:val="none"/>
        </w:rPr>
        <w:t>before implementation in</w:t>
      </w:r>
      <w:r w:rsidRPr="008A75B1">
        <w:rPr>
          <w:rFonts w:eastAsia="Times New Roman" w:cs="Times New Roman"/>
          <w:kern w:val="0"/>
          <w:szCs w:val="24"/>
          <w14:ligatures w14:val="none"/>
        </w:rPr>
        <w:t xml:space="preserve"> any live or business-critical environment.</w:t>
      </w:r>
    </w:p>
    <w:p w14:paraId="38C609B3"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Grumpy Old IT Guy Publishers and Angelo R Bobak make no guarantees regarding performance, accuracy, compatibility, security, reliability, regulatory compliance, or operational suitability. All examples and technical content are supplied without warranty of any kind, either expressed or implied.</w:t>
      </w:r>
    </w:p>
    <w:p w14:paraId="206EF76A"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By using any portion of these materials, the reader acknowledges that all implementation decisions, modifications, deployments, and operational usage are performed entirely at the user’s own discretion and risk. Grumpy Old IT Guy Publishers and Angelo R Bobak shall not be responsible for any losses, damage, outages, liabilities, compliance issues, data corruption, or business interruptions that may result from the use or misuse of these materials.</w:t>
      </w:r>
    </w:p>
    <w:p w14:paraId="5C1659C0"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All examples are intended strictly for educational and demonstration purposes.</w:t>
      </w:r>
    </w:p>
    <w:p w14:paraId="607DF616"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b/>
          <w:bCs/>
          <w:kern w:val="0"/>
          <w:szCs w:val="24"/>
          <w14:ligatures w14:val="none"/>
        </w:rPr>
        <w:t>© Grumpy Old IT Guy Publishers / Angelo R Bobak 2026</w:t>
      </w:r>
    </w:p>
    <w:p w14:paraId="4CACC5FD" w14:textId="77777777" w:rsidR="00371B58" w:rsidRDefault="00371B58"/>
    <w:sectPr w:rsidR="00371B58">
      <w:foot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2B210" w14:textId="77777777" w:rsidR="001D654E" w:rsidRDefault="001D654E" w:rsidP="00C7381D">
      <w:pPr>
        <w:spacing w:before="0" w:after="0" w:line="240" w:lineRule="auto"/>
      </w:pPr>
      <w:r>
        <w:separator/>
      </w:r>
    </w:p>
  </w:endnote>
  <w:endnote w:type="continuationSeparator" w:id="0">
    <w:p w14:paraId="745CFCD2" w14:textId="77777777" w:rsidR="001D654E" w:rsidRDefault="001D654E" w:rsidP="00C7381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9118747"/>
      <w:docPartObj>
        <w:docPartGallery w:val="Page Numbers (Bottom of Page)"/>
        <w:docPartUnique/>
      </w:docPartObj>
    </w:sdtPr>
    <w:sdtContent>
      <w:p w14:paraId="4D61A9A6" w14:textId="50920FD2" w:rsidR="00C7381D" w:rsidRDefault="00C7381D">
        <w:pPr>
          <w:pStyle w:val="Footer"/>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125BBF2E" w14:textId="77777777" w:rsidR="00C7381D" w:rsidRDefault="00C738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882B46" w14:textId="77777777" w:rsidR="001D654E" w:rsidRDefault="001D654E" w:rsidP="00C7381D">
      <w:pPr>
        <w:spacing w:before="0" w:after="0" w:line="240" w:lineRule="auto"/>
      </w:pPr>
      <w:r>
        <w:separator/>
      </w:r>
    </w:p>
  </w:footnote>
  <w:footnote w:type="continuationSeparator" w:id="0">
    <w:p w14:paraId="1E8CB020" w14:textId="77777777" w:rsidR="001D654E" w:rsidRDefault="001D654E" w:rsidP="00C7381D">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7019C"/>
    <w:multiLevelType w:val="multilevel"/>
    <w:tmpl w:val="BB74C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E41F74"/>
    <w:multiLevelType w:val="multilevel"/>
    <w:tmpl w:val="DFC05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A40569"/>
    <w:multiLevelType w:val="multilevel"/>
    <w:tmpl w:val="6BE2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8E743D"/>
    <w:multiLevelType w:val="multilevel"/>
    <w:tmpl w:val="1A0EF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E3593F"/>
    <w:multiLevelType w:val="multilevel"/>
    <w:tmpl w:val="1E9A3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4C4778"/>
    <w:multiLevelType w:val="multilevel"/>
    <w:tmpl w:val="21CC0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DBC15F8"/>
    <w:multiLevelType w:val="multilevel"/>
    <w:tmpl w:val="0D446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EA45913"/>
    <w:multiLevelType w:val="multilevel"/>
    <w:tmpl w:val="FD7E9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4332DE7"/>
    <w:multiLevelType w:val="multilevel"/>
    <w:tmpl w:val="85C67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9EC2362"/>
    <w:multiLevelType w:val="multilevel"/>
    <w:tmpl w:val="28DAB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4F63C08"/>
    <w:multiLevelType w:val="multilevel"/>
    <w:tmpl w:val="6CC43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2CF7C40"/>
    <w:multiLevelType w:val="multilevel"/>
    <w:tmpl w:val="F5520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E62374"/>
    <w:multiLevelType w:val="multilevel"/>
    <w:tmpl w:val="C2C6D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F276F0E"/>
    <w:multiLevelType w:val="multilevel"/>
    <w:tmpl w:val="90F48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16C79F5"/>
    <w:multiLevelType w:val="multilevel"/>
    <w:tmpl w:val="1CA41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4F35931"/>
    <w:multiLevelType w:val="multilevel"/>
    <w:tmpl w:val="D616A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B4C70A6"/>
    <w:multiLevelType w:val="multilevel"/>
    <w:tmpl w:val="B3A8D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99063190">
    <w:abstractNumId w:val="4"/>
  </w:num>
  <w:num w:numId="2" w16cid:durableId="1854951142">
    <w:abstractNumId w:val="3"/>
  </w:num>
  <w:num w:numId="3" w16cid:durableId="116221681">
    <w:abstractNumId w:val="5"/>
  </w:num>
  <w:num w:numId="4" w16cid:durableId="975138434">
    <w:abstractNumId w:val="1"/>
  </w:num>
  <w:num w:numId="5" w16cid:durableId="280307906">
    <w:abstractNumId w:val="9"/>
  </w:num>
  <w:num w:numId="6" w16cid:durableId="1584561956">
    <w:abstractNumId w:val="8"/>
  </w:num>
  <w:num w:numId="7" w16cid:durableId="584657495">
    <w:abstractNumId w:val="12"/>
  </w:num>
  <w:num w:numId="8" w16cid:durableId="1170175285">
    <w:abstractNumId w:val="15"/>
  </w:num>
  <w:num w:numId="9" w16cid:durableId="567304931">
    <w:abstractNumId w:val="7"/>
  </w:num>
  <w:num w:numId="10" w16cid:durableId="2145343959">
    <w:abstractNumId w:val="14"/>
  </w:num>
  <w:num w:numId="11" w16cid:durableId="648022361">
    <w:abstractNumId w:val="11"/>
  </w:num>
  <w:num w:numId="12" w16cid:durableId="595985747">
    <w:abstractNumId w:val="6"/>
  </w:num>
  <w:num w:numId="13" w16cid:durableId="1431462347">
    <w:abstractNumId w:val="0"/>
  </w:num>
  <w:num w:numId="14" w16cid:durableId="30346320">
    <w:abstractNumId w:val="13"/>
  </w:num>
  <w:num w:numId="15" w16cid:durableId="1534222751">
    <w:abstractNumId w:val="2"/>
  </w:num>
  <w:num w:numId="16" w16cid:durableId="714811831">
    <w:abstractNumId w:val="10"/>
  </w:num>
  <w:num w:numId="17" w16cid:durableId="7181639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030B"/>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CAC"/>
    <w:rsid w:val="00172B87"/>
    <w:rsid w:val="00176494"/>
    <w:rsid w:val="001774D0"/>
    <w:rsid w:val="00177B7F"/>
    <w:rsid w:val="00180DDC"/>
    <w:rsid w:val="00180EA3"/>
    <w:rsid w:val="00181805"/>
    <w:rsid w:val="00181CE4"/>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51"/>
    <w:rsid w:val="001C3305"/>
    <w:rsid w:val="001C535B"/>
    <w:rsid w:val="001C53CC"/>
    <w:rsid w:val="001C6B3F"/>
    <w:rsid w:val="001C7F25"/>
    <w:rsid w:val="001D078C"/>
    <w:rsid w:val="001D1C04"/>
    <w:rsid w:val="001D38FE"/>
    <w:rsid w:val="001D654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1B58"/>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2C55"/>
    <w:rsid w:val="00414448"/>
    <w:rsid w:val="004170FA"/>
    <w:rsid w:val="00417C1C"/>
    <w:rsid w:val="0042030B"/>
    <w:rsid w:val="00424560"/>
    <w:rsid w:val="00425392"/>
    <w:rsid w:val="004279B5"/>
    <w:rsid w:val="00427B3B"/>
    <w:rsid w:val="00432962"/>
    <w:rsid w:val="00433144"/>
    <w:rsid w:val="004349E8"/>
    <w:rsid w:val="0043595B"/>
    <w:rsid w:val="004362D3"/>
    <w:rsid w:val="0044063E"/>
    <w:rsid w:val="00441DBA"/>
    <w:rsid w:val="004477B4"/>
    <w:rsid w:val="004509EF"/>
    <w:rsid w:val="00451BEB"/>
    <w:rsid w:val="00452834"/>
    <w:rsid w:val="00454AAA"/>
    <w:rsid w:val="00455F46"/>
    <w:rsid w:val="00456FE2"/>
    <w:rsid w:val="00457187"/>
    <w:rsid w:val="00460E02"/>
    <w:rsid w:val="00463650"/>
    <w:rsid w:val="00464BF6"/>
    <w:rsid w:val="0047145F"/>
    <w:rsid w:val="00471937"/>
    <w:rsid w:val="004733E7"/>
    <w:rsid w:val="004735BD"/>
    <w:rsid w:val="00473605"/>
    <w:rsid w:val="00474335"/>
    <w:rsid w:val="00475284"/>
    <w:rsid w:val="004767FA"/>
    <w:rsid w:val="00480AA6"/>
    <w:rsid w:val="004825E3"/>
    <w:rsid w:val="0048340C"/>
    <w:rsid w:val="0048507E"/>
    <w:rsid w:val="0048612B"/>
    <w:rsid w:val="0048625A"/>
    <w:rsid w:val="00486E7E"/>
    <w:rsid w:val="004874B3"/>
    <w:rsid w:val="004924C1"/>
    <w:rsid w:val="00497442"/>
    <w:rsid w:val="004A076D"/>
    <w:rsid w:val="004A29D3"/>
    <w:rsid w:val="004A2D76"/>
    <w:rsid w:val="004A4DA6"/>
    <w:rsid w:val="004A51DB"/>
    <w:rsid w:val="004A53DB"/>
    <w:rsid w:val="004A5B6C"/>
    <w:rsid w:val="004A7B9B"/>
    <w:rsid w:val="004B07D4"/>
    <w:rsid w:val="004B0CA1"/>
    <w:rsid w:val="004B361C"/>
    <w:rsid w:val="004B3B80"/>
    <w:rsid w:val="004B59B4"/>
    <w:rsid w:val="004C190E"/>
    <w:rsid w:val="004C2DE2"/>
    <w:rsid w:val="004C33F8"/>
    <w:rsid w:val="004C3E11"/>
    <w:rsid w:val="004C40DD"/>
    <w:rsid w:val="004C6E71"/>
    <w:rsid w:val="004D0EB6"/>
    <w:rsid w:val="004D20D9"/>
    <w:rsid w:val="004D2397"/>
    <w:rsid w:val="004D2EA8"/>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2D03"/>
    <w:rsid w:val="0056411F"/>
    <w:rsid w:val="005644AE"/>
    <w:rsid w:val="0056630B"/>
    <w:rsid w:val="005672D7"/>
    <w:rsid w:val="00570837"/>
    <w:rsid w:val="00571FA7"/>
    <w:rsid w:val="00573661"/>
    <w:rsid w:val="005768BA"/>
    <w:rsid w:val="005819CB"/>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C2E"/>
    <w:rsid w:val="005C7E57"/>
    <w:rsid w:val="005D213F"/>
    <w:rsid w:val="005D3160"/>
    <w:rsid w:val="005D37A4"/>
    <w:rsid w:val="005D4643"/>
    <w:rsid w:val="005D4743"/>
    <w:rsid w:val="005D5DD4"/>
    <w:rsid w:val="005D6322"/>
    <w:rsid w:val="005D6814"/>
    <w:rsid w:val="005D6970"/>
    <w:rsid w:val="005D737C"/>
    <w:rsid w:val="005E0009"/>
    <w:rsid w:val="005E17B4"/>
    <w:rsid w:val="005E4620"/>
    <w:rsid w:val="005E4FB5"/>
    <w:rsid w:val="005E75AB"/>
    <w:rsid w:val="005F225A"/>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33DC"/>
    <w:rsid w:val="00653B07"/>
    <w:rsid w:val="006617AE"/>
    <w:rsid w:val="0066223B"/>
    <w:rsid w:val="00663C44"/>
    <w:rsid w:val="00663E31"/>
    <w:rsid w:val="006660C0"/>
    <w:rsid w:val="006667E1"/>
    <w:rsid w:val="006672D9"/>
    <w:rsid w:val="0066773F"/>
    <w:rsid w:val="006713D6"/>
    <w:rsid w:val="00672B15"/>
    <w:rsid w:val="00673D21"/>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4DC"/>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57038"/>
    <w:rsid w:val="0076170E"/>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F4B"/>
    <w:rsid w:val="007A16EB"/>
    <w:rsid w:val="007A1F4D"/>
    <w:rsid w:val="007A5D9E"/>
    <w:rsid w:val="007A6374"/>
    <w:rsid w:val="007A6410"/>
    <w:rsid w:val="007B08D4"/>
    <w:rsid w:val="007B0D62"/>
    <w:rsid w:val="007B1C94"/>
    <w:rsid w:val="007B1E8C"/>
    <w:rsid w:val="007B263A"/>
    <w:rsid w:val="007B4E38"/>
    <w:rsid w:val="007B5851"/>
    <w:rsid w:val="007B5BD4"/>
    <w:rsid w:val="007B678F"/>
    <w:rsid w:val="007C0F8B"/>
    <w:rsid w:val="007C3F77"/>
    <w:rsid w:val="007D060A"/>
    <w:rsid w:val="007D0BDC"/>
    <w:rsid w:val="007D0CFE"/>
    <w:rsid w:val="007D11BF"/>
    <w:rsid w:val="007D4FB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72D8"/>
    <w:rsid w:val="00807B1D"/>
    <w:rsid w:val="00810083"/>
    <w:rsid w:val="00811375"/>
    <w:rsid w:val="008138FB"/>
    <w:rsid w:val="00814F67"/>
    <w:rsid w:val="00816112"/>
    <w:rsid w:val="00816275"/>
    <w:rsid w:val="008167E0"/>
    <w:rsid w:val="008177E9"/>
    <w:rsid w:val="00817AFA"/>
    <w:rsid w:val="0082770E"/>
    <w:rsid w:val="00827B56"/>
    <w:rsid w:val="00830A4B"/>
    <w:rsid w:val="008313D1"/>
    <w:rsid w:val="0083565C"/>
    <w:rsid w:val="00836322"/>
    <w:rsid w:val="00837FB1"/>
    <w:rsid w:val="008406D4"/>
    <w:rsid w:val="00844077"/>
    <w:rsid w:val="00846033"/>
    <w:rsid w:val="00847FCC"/>
    <w:rsid w:val="0085024E"/>
    <w:rsid w:val="008517AA"/>
    <w:rsid w:val="00852BE5"/>
    <w:rsid w:val="0085504C"/>
    <w:rsid w:val="008560F7"/>
    <w:rsid w:val="008573D0"/>
    <w:rsid w:val="0086663D"/>
    <w:rsid w:val="00866831"/>
    <w:rsid w:val="00867F2E"/>
    <w:rsid w:val="008701DD"/>
    <w:rsid w:val="0087031F"/>
    <w:rsid w:val="00871828"/>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449C9"/>
    <w:rsid w:val="00944B95"/>
    <w:rsid w:val="0094578E"/>
    <w:rsid w:val="00946A44"/>
    <w:rsid w:val="00947DF0"/>
    <w:rsid w:val="00951D45"/>
    <w:rsid w:val="00952542"/>
    <w:rsid w:val="00953973"/>
    <w:rsid w:val="00954186"/>
    <w:rsid w:val="00954FDA"/>
    <w:rsid w:val="00960C36"/>
    <w:rsid w:val="00960CAC"/>
    <w:rsid w:val="009615AF"/>
    <w:rsid w:val="009634AE"/>
    <w:rsid w:val="00963983"/>
    <w:rsid w:val="00964734"/>
    <w:rsid w:val="00966D3B"/>
    <w:rsid w:val="00967791"/>
    <w:rsid w:val="00971A31"/>
    <w:rsid w:val="00972F12"/>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4E86"/>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5812"/>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1DCD"/>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6748"/>
    <w:rsid w:val="00C06EDF"/>
    <w:rsid w:val="00C07BBD"/>
    <w:rsid w:val="00C11110"/>
    <w:rsid w:val="00C111F3"/>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0C13"/>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381D"/>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5EA8"/>
    <w:rsid w:val="00CC657D"/>
    <w:rsid w:val="00CD22EF"/>
    <w:rsid w:val="00CD23AE"/>
    <w:rsid w:val="00CD2665"/>
    <w:rsid w:val="00CD5323"/>
    <w:rsid w:val="00CD5874"/>
    <w:rsid w:val="00CD5F96"/>
    <w:rsid w:val="00CE13FF"/>
    <w:rsid w:val="00CE3EDB"/>
    <w:rsid w:val="00CE4A11"/>
    <w:rsid w:val="00CE5640"/>
    <w:rsid w:val="00CE6D5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59CD"/>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A02"/>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A81"/>
    <w:rsid w:val="00F14541"/>
    <w:rsid w:val="00F1458F"/>
    <w:rsid w:val="00F14622"/>
    <w:rsid w:val="00F14AC3"/>
    <w:rsid w:val="00F208E0"/>
    <w:rsid w:val="00F25510"/>
    <w:rsid w:val="00F27627"/>
    <w:rsid w:val="00F31264"/>
    <w:rsid w:val="00F3635D"/>
    <w:rsid w:val="00F37FBF"/>
    <w:rsid w:val="00F45C7D"/>
    <w:rsid w:val="00F45E05"/>
    <w:rsid w:val="00F46725"/>
    <w:rsid w:val="00F5022D"/>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7B05"/>
    <w:rsid w:val="00FB03C6"/>
    <w:rsid w:val="00FB0F4B"/>
    <w:rsid w:val="00FB1AD3"/>
    <w:rsid w:val="00FB3053"/>
    <w:rsid w:val="00FB65F3"/>
    <w:rsid w:val="00FB7A99"/>
    <w:rsid w:val="00FC027A"/>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173952"/>
  <w15:chartTrackingRefBased/>
  <w15:docId w15:val="{19035F78-E946-4B95-8757-1FBCF60F6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89E"/>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4203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203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2030B"/>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2030B"/>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2030B"/>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2030B"/>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2030B"/>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2030B"/>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2030B"/>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5819CB"/>
    <w:pPr>
      <w:shd w:val="clear" w:color="auto" w:fill="00B0F0"/>
      <w:jc w:val="center"/>
    </w:pPr>
    <w:rPr>
      <w:rFonts w:eastAsia="Times New Roman"/>
      <w:b/>
      <w:color w:val="FFFFFF" w:themeColor="background1"/>
      <w:sz w:val="48"/>
      <w:szCs w:val="48"/>
      <w:lang w:val="it-IT"/>
    </w:rPr>
  </w:style>
  <w:style w:type="character" w:customStyle="1" w:styleId="BookHeading3Char">
    <w:name w:val="Book Heading 3 Char"/>
    <w:basedOn w:val="TitleChar"/>
    <w:link w:val="BookHeading3"/>
    <w:rsid w:val="005819CB"/>
    <w:rPr>
      <w:rFonts w:asciiTheme="majorHAnsi" w:eastAsia="Times New Roman" w:hAnsiTheme="majorHAnsi" w:cstheme="majorBidi"/>
      <w:b/>
      <w:color w:val="FFFFFF" w:themeColor="background1"/>
      <w:spacing w:val="-10"/>
      <w:kern w:val="28"/>
      <w:sz w:val="48"/>
      <w:szCs w:val="48"/>
      <w:shd w:val="clear" w:color="auto" w:fill="00B0F0"/>
      <w:lang w:val="it-IT"/>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2030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2030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2030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2030B"/>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42030B"/>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42030B"/>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42030B"/>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42030B"/>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42030B"/>
    <w:rPr>
      <w:rFonts w:eastAsiaTheme="majorEastAsia" w:cstheme="majorBidi"/>
      <w:color w:val="272727" w:themeColor="text1" w:themeTint="D8"/>
      <w:sz w:val="24"/>
      <w:szCs w:val="20"/>
    </w:rPr>
  </w:style>
  <w:style w:type="paragraph" w:styleId="Subtitle">
    <w:name w:val="Subtitle"/>
    <w:aliases w:val="Subtitle 1"/>
    <w:basedOn w:val="Normal"/>
    <w:next w:val="Normal"/>
    <w:link w:val="SubtitleChar"/>
    <w:uiPriority w:val="11"/>
    <w:qFormat/>
    <w:rsid w:val="00EE7A02"/>
    <w:pPr>
      <w:numPr>
        <w:ilvl w:val="1"/>
      </w:numPr>
      <w:shd w:val="clear" w:color="auto" w:fill="00B0F0"/>
      <w:spacing w:after="160"/>
    </w:pPr>
    <w:rPr>
      <w:rFonts w:asciiTheme="minorHAnsi" w:eastAsiaTheme="majorEastAsia" w:hAnsiTheme="minorHAnsi" w:cstheme="majorBidi"/>
      <w:b/>
      <w:color w:val="FFFFFF" w:themeColor="background1"/>
      <w:spacing w:val="15"/>
      <w:sz w:val="36"/>
      <w:szCs w:val="28"/>
    </w:rPr>
  </w:style>
  <w:style w:type="character" w:customStyle="1" w:styleId="SubtitleChar">
    <w:name w:val="Subtitle Char"/>
    <w:aliases w:val="Subtitle 1 Char"/>
    <w:basedOn w:val="DefaultParagraphFont"/>
    <w:link w:val="Subtitle"/>
    <w:uiPriority w:val="11"/>
    <w:rsid w:val="00EE7A02"/>
    <w:rPr>
      <w:rFonts w:eastAsiaTheme="majorEastAsia" w:cstheme="majorBidi"/>
      <w:b/>
      <w:color w:val="FFFFFF" w:themeColor="background1"/>
      <w:spacing w:val="15"/>
      <w:sz w:val="36"/>
      <w:szCs w:val="28"/>
      <w:shd w:val="clear" w:color="auto" w:fill="00B0F0"/>
    </w:rPr>
  </w:style>
  <w:style w:type="paragraph" w:styleId="Quote">
    <w:name w:val="Quote"/>
    <w:basedOn w:val="Normal"/>
    <w:next w:val="Normal"/>
    <w:link w:val="QuoteChar"/>
    <w:uiPriority w:val="29"/>
    <w:qFormat/>
    <w:rsid w:val="0042030B"/>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2030B"/>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42030B"/>
    <w:pPr>
      <w:ind w:left="720"/>
      <w:contextualSpacing/>
    </w:pPr>
  </w:style>
  <w:style w:type="character" w:styleId="IntenseEmphasis">
    <w:name w:val="Intense Emphasis"/>
    <w:basedOn w:val="DefaultParagraphFont"/>
    <w:uiPriority w:val="21"/>
    <w:qFormat/>
    <w:rsid w:val="0042030B"/>
    <w:rPr>
      <w:i/>
      <w:iCs/>
      <w:color w:val="0F4761" w:themeColor="accent1" w:themeShade="BF"/>
    </w:rPr>
  </w:style>
  <w:style w:type="paragraph" w:styleId="IntenseQuote">
    <w:name w:val="Intense Quote"/>
    <w:basedOn w:val="Normal"/>
    <w:next w:val="Normal"/>
    <w:link w:val="IntenseQuoteChar"/>
    <w:uiPriority w:val="30"/>
    <w:qFormat/>
    <w:rsid w:val="004203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2030B"/>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42030B"/>
    <w:rPr>
      <w:b/>
      <w:bCs/>
      <w:smallCaps/>
      <w:color w:val="0F4761" w:themeColor="accent1" w:themeShade="BF"/>
      <w:spacing w:val="5"/>
    </w:rPr>
  </w:style>
  <w:style w:type="paragraph" w:styleId="Header">
    <w:name w:val="header"/>
    <w:basedOn w:val="Normal"/>
    <w:link w:val="HeaderChar"/>
    <w:uiPriority w:val="99"/>
    <w:unhideWhenUsed/>
    <w:rsid w:val="00C7381D"/>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C7381D"/>
    <w:rPr>
      <w:rFonts w:ascii="Times New Roman" w:eastAsiaTheme="minorEastAsia" w:hAnsi="Times New Roman"/>
      <w:sz w:val="24"/>
      <w:szCs w:val="20"/>
    </w:rPr>
  </w:style>
  <w:style w:type="paragraph" w:styleId="Footer">
    <w:name w:val="footer"/>
    <w:basedOn w:val="Normal"/>
    <w:link w:val="FooterChar"/>
    <w:uiPriority w:val="99"/>
    <w:unhideWhenUsed/>
    <w:rsid w:val="00C7381D"/>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C7381D"/>
    <w:rPr>
      <w:rFonts w:ascii="Times New Roman" w:eastAsiaTheme="minorEastAsia" w:hAnsi="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12</Pages>
  <Words>2607</Words>
  <Characters>14863</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7</cp:revision>
  <dcterms:created xsi:type="dcterms:W3CDTF">2026-05-21T14:18:00Z</dcterms:created>
  <dcterms:modified xsi:type="dcterms:W3CDTF">2026-05-21T14:47:00Z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d0c844c3-0b10-449d-ab2c-a00b642d08b2</vt:lpwstr>
  </property>
</Properties>
</file>